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7C" w:rsidRDefault="00FD7F7C" w:rsidP="00FD7F7C">
      <w:pPr>
        <w:tabs>
          <w:tab w:val="left" w:pos="6300"/>
        </w:tabs>
        <w:rPr>
          <w:rFonts w:ascii="Arial Narrow" w:hAnsi="Arial Narrow"/>
          <w:i/>
        </w:rPr>
      </w:pPr>
    </w:p>
    <w:p w:rsidR="00FD7F7C" w:rsidRDefault="00FD7F7C" w:rsidP="00FD7F7C">
      <w:pPr>
        <w:tabs>
          <w:tab w:val="left" w:pos="6300"/>
        </w:tabs>
        <w:rPr>
          <w:rFonts w:ascii="Arial Narrow" w:hAnsi="Arial Narrow"/>
          <w:i/>
        </w:rPr>
      </w:pPr>
    </w:p>
    <w:p w:rsidR="00FD7F7C" w:rsidRPr="00371A6C" w:rsidRDefault="00FD7F7C" w:rsidP="00FD7F7C">
      <w:pPr>
        <w:tabs>
          <w:tab w:val="left" w:pos="6300"/>
        </w:tabs>
        <w:rPr>
          <w:rFonts w:ascii="Arial Narrow" w:hAnsi="Arial Narrow"/>
          <w:i/>
        </w:rPr>
      </w:pPr>
      <w:r>
        <w:rPr>
          <w:noProof/>
          <w:lang w:eastAsia="sk-SK"/>
        </w:rPr>
        <w:drawing>
          <wp:anchor distT="0" distB="0" distL="90170" distR="90170" simplePos="0" relativeHeight="251659264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-382270</wp:posOffset>
            </wp:positionV>
            <wp:extent cx="669290" cy="791210"/>
            <wp:effectExtent l="1905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F7C" w:rsidRPr="00371A6C" w:rsidRDefault="00FD7F7C" w:rsidP="00FD7F7C">
      <w:pPr>
        <w:pStyle w:val="Popis"/>
        <w:rPr>
          <w:rFonts w:ascii="Arial Narrow" w:hAnsi="Arial Narrow"/>
        </w:rPr>
      </w:pPr>
    </w:p>
    <w:p w:rsidR="00FD7F7C" w:rsidRPr="003C3BD0" w:rsidRDefault="00FD7F7C" w:rsidP="00FD7F7C">
      <w:pPr>
        <w:pStyle w:val="Nzov"/>
        <w:rPr>
          <w:rFonts w:ascii="Arial Narrow" w:hAnsi="Arial Narrow"/>
          <w:sz w:val="40"/>
          <w:szCs w:val="40"/>
        </w:rPr>
      </w:pPr>
      <w:r w:rsidRPr="003C3BD0">
        <w:rPr>
          <w:rFonts w:ascii="Times New Roman" w:hAnsi="Times New Roman"/>
          <w:sz w:val="40"/>
          <w:szCs w:val="40"/>
        </w:rPr>
        <w:t xml:space="preserve">Ministerstvo hospodárstva Slovenskej republiky </w:t>
      </w:r>
    </w:p>
    <w:p w:rsidR="00FD7F7C" w:rsidRDefault="00FD7F7C" w:rsidP="00FD7F7C">
      <w:pPr>
        <w:pStyle w:val="Nzov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Riadiaci orgán pre Operačný program Konkurencieschopnosť a hospodársky rast</w:t>
      </w:r>
    </w:p>
    <w:p w:rsidR="00FD7F7C" w:rsidRDefault="00FD7F7C" w:rsidP="00FD7F7C">
      <w:pPr>
        <w:pStyle w:val="Nzov"/>
        <w:rPr>
          <w:rFonts w:ascii="Arial Narrow" w:hAnsi="Arial Narrow"/>
          <w:sz w:val="24"/>
        </w:rPr>
      </w:pPr>
    </w:p>
    <w:p w:rsidR="00FD7F7C" w:rsidRDefault="00FD7F7C" w:rsidP="00FD7F7C">
      <w:pPr>
        <w:pStyle w:val="Nzov"/>
        <w:rPr>
          <w:rFonts w:ascii="Arial Narrow" w:hAnsi="Arial Narrow"/>
          <w:sz w:val="24"/>
        </w:rPr>
      </w:pPr>
    </w:p>
    <w:p w:rsidR="00FD7F7C" w:rsidRDefault="00FD7F7C" w:rsidP="00FD7F7C">
      <w:pPr>
        <w:pStyle w:val="Nzov"/>
        <w:rPr>
          <w:rFonts w:ascii="Arial Narrow" w:hAnsi="Arial Narrow"/>
          <w:sz w:val="24"/>
        </w:rPr>
      </w:pPr>
      <w:r w:rsidRPr="00FD7F7C">
        <w:rPr>
          <w:rFonts w:ascii="Arial Narrow" w:hAnsi="Arial Narrow"/>
          <w:noProof/>
          <w:sz w:val="24"/>
          <w:lang w:eastAsia="sk-SK"/>
        </w:rPr>
        <w:drawing>
          <wp:inline distT="0" distB="0" distL="0" distR="0">
            <wp:extent cx="2579370" cy="1509395"/>
            <wp:effectExtent l="19050" t="0" r="0" b="0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F7C" w:rsidRDefault="00FD7F7C" w:rsidP="00FD7F7C">
      <w:pPr>
        <w:pStyle w:val="Nzov"/>
        <w:rPr>
          <w:rFonts w:ascii="Arial Narrow" w:hAnsi="Arial Narrow"/>
          <w:sz w:val="24"/>
        </w:rPr>
      </w:pPr>
    </w:p>
    <w:p w:rsidR="00FD7F7C" w:rsidRDefault="00FD7F7C" w:rsidP="00FD7F7C">
      <w:pPr>
        <w:pStyle w:val="Nzov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vydáva </w:t>
      </w:r>
    </w:p>
    <w:p w:rsidR="00FD7F7C" w:rsidRDefault="00FD7F7C" w:rsidP="00FD7F7C">
      <w:pPr>
        <w:pStyle w:val="Nzov"/>
        <w:rPr>
          <w:rFonts w:ascii="Arial Narrow" w:hAnsi="Arial Narrow"/>
          <w:sz w:val="24"/>
        </w:rPr>
      </w:pPr>
    </w:p>
    <w:p w:rsidR="00254217" w:rsidRPr="00FD7F7C" w:rsidRDefault="00254217" w:rsidP="00254217">
      <w:pPr>
        <w:spacing w:after="0"/>
        <w:jc w:val="center"/>
        <w:rPr>
          <w:b/>
          <w:shadow/>
          <w:sz w:val="44"/>
          <w:szCs w:val="44"/>
          <w:u w:val="wavyDouble"/>
        </w:rPr>
      </w:pPr>
      <w:r w:rsidRPr="00FD7F7C">
        <w:rPr>
          <w:b/>
          <w:shadow/>
          <w:sz w:val="44"/>
          <w:szCs w:val="44"/>
          <w:u w:val="wavyDouble"/>
        </w:rPr>
        <w:t>INŠTRUKCI</w:t>
      </w:r>
      <w:r w:rsidR="00FD7F7C">
        <w:rPr>
          <w:b/>
          <w:shadow/>
          <w:sz w:val="44"/>
          <w:szCs w:val="44"/>
          <w:u w:val="wavyDouble"/>
        </w:rPr>
        <w:t>U</w:t>
      </w:r>
      <w:r w:rsidRPr="00FD7F7C">
        <w:rPr>
          <w:b/>
          <w:shadow/>
          <w:sz w:val="44"/>
          <w:szCs w:val="44"/>
          <w:u w:val="wavyDouble"/>
        </w:rPr>
        <w:t xml:space="preserve"> K APLIKÁCII RÝCHLEHO TESTU</w:t>
      </w:r>
    </w:p>
    <w:p w:rsidR="004563AB" w:rsidRPr="00FD7F7C" w:rsidRDefault="00254217" w:rsidP="00254217">
      <w:pPr>
        <w:spacing w:after="0"/>
        <w:jc w:val="center"/>
        <w:rPr>
          <w:rFonts w:ascii="Times New Roman" w:hAnsi="Times New Roman" w:cs="Times New Roman"/>
          <w:shadow/>
          <w:sz w:val="44"/>
          <w:szCs w:val="44"/>
          <w:u w:val="wavyDouble"/>
        </w:rPr>
      </w:pPr>
      <w:r w:rsidRPr="00FD7F7C">
        <w:rPr>
          <w:b/>
          <w:shadow/>
          <w:sz w:val="44"/>
          <w:szCs w:val="44"/>
          <w:u w:val="wavyDouble"/>
        </w:rPr>
        <w:t>IDENTIFIKÁCIE PODNIKU V ŤAŽKOSTIACH</w:t>
      </w:r>
    </w:p>
    <w:p w:rsidR="00254217" w:rsidRDefault="00254217" w:rsidP="00254217">
      <w:pPr>
        <w:spacing w:after="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FD7F7C" w:rsidRDefault="00F75BC5" w:rsidP="00254217">
      <w:pPr>
        <w:spacing w:after="0"/>
        <w:jc w:val="center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V ZNENÍ </w:t>
      </w:r>
      <w:r w:rsidR="001B080B">
        <w:rPr>
          <w:rFonts w:ascii="Times New Roman" w:hAnsi="Times New Roman" w:cs="Times New Roman"/>
          <w:shadow/>
          <w:sz w:val="24"/>
          <w:szCs w:val="24"/>
        </w:rPr>
        <w:t>AKUTALIZÁCIE</w:t>
      </w:r>
      <w:r w:rsidR="001B080B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sz w:val="24"/>
          <w:szCs w:val="24"/>
        </w:rPr>
        <w:t>č. 1</w:t>
      </w:r>
    </w:p>
    <w:p w:rsidR="00FD7F7C" w:rsidRDefault="00FD7F7C" w:rsidP="00254217">
      <w:pPr>
        <w:spacing w:after="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FD7F7C" w:rsidRDefault="00254217" w:rsidP="00254217">
      <w:pPr>
        <w:spacing w:after="0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6F71A8">
        <w:rPr>
          <w:noProof/>
        </w:rPr>
        <w:br/>
      </w:r>
    </w:p>
    <w:p w:rsidR="00FD7F7C" w:rsidRDefault="00FD7F7C" w:rsidP="00254217">
      <w:pPr>
        <w:spacing w:after="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974B95" w:rsidRDefault="00FD7F7C" w:rsidP="00974B95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Times New Roman" w:hAnsi="Times New Roman" w:cs="Times New Roman"/>
          <w:shadow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3AD7A84F" wp14:editId="7E60B95C">
            <wp:simplePos x="0" y="0"/>
            <wp:positionH relativeFrom="column">
              <wp:posOffset>2376805</wp:posOffset>
            </wp:positionH>
            <wp:positionV relativeFrom="paragraph">
              <wp:posOffset>787400</wp:posOffset>
            </wp:positionV>
            <wp:extent cx="1028700" cy="1181100"/>
            <wp:effectExtent l="19050" t="0" r="0" b="0"/>
            <wp:wrapSquare wrapText="bothSides"/>
            <wp:docPr id="3" name="Obrázok 3" descr="logo Eu_ERDF_vertika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u_ERDF_vertikal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hadow/>
          <w:sz w:val="24"/>
          <w:szCs w:val="24"/>
        </w:rPr>
        <w:br/>
      </w:r>
      <w:r>
        <w:rPr>
          <w:rFonts w:ascii="Times New Roman" w:hAnsi="Times New Roman" w:cs="Times New Roman"/>
          <w:shadow/>
          <w:sz w:val="24"/>
          <w:szCs w:val="24"/>
        </w:rPr>
        <w:br/>
      </w:r>
      <w:r w:rsidR="00974B95" w:rsidRPr="00A50FBA">
        <w:rPr>
          <w:rFonts w:ascii="Arial Narrow" w:hAnsi="Arial Narrow"/>
          <w:b/>
        </w:rPr>
        <w:t>Výsledky rýchleho testu pod</w:t>
      </w:r>
      <w:r w:rsidR="00974B95">
        <w:rPr>
          <w:rFonts w:ascii="Arial Narrow" w:hAnsi="Arial Narrow"/>
          <w:b/>
        </w:rPr>
        <w:t>niku v ťažkostiach sú nezáväzné</w:t>
      </w:r>
    </w:p>
    <w:p w:rsidR="00974B95" w:rsidRDefault="00974B95" w:rsidP="00974B95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Dátum vydania: 1.2.201</w:t>
      </w:r>
      <w:r w:rsidR="00F75BC5">
        <w:rPr>
          <w:rFonts w:ascii="Arial Narrow" w:hAnsi="Arial Narrow"/>
          <w:b/>
        </w:rPr>
        <w:t>3</w:t>
      </w:r>
      <w:bookmarkStart w:id="0" w:name="_GoBack"/>
      <w:bookmarkEnd w:id="0"/>
    </w:p>
    <w:p w:rsidR="00FD7F7C" w:rsidRDefault="00FD7F7C" w:rsidP="00254217">
      <w:pPr>
        <w:spacing w:after="0"/>
        <w:jc w:val="center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br/>
      </w:r>
      <w:r>
        <w:rPr>
          <w:rFonts w:ascii="Times New Roman" w:hAnsi="Times New Roman" w:cs="Times New Roman"/>
          <w:shadow/>
          <w:sz w:val="24"/>
          <w:szCs w:val="24"/>
        </w:rPr>
        <w:br/>
      </w:r>
      <w:r>
        <w:rPr>
          <w:rFonts w:ascii="Times New Roman" w:hAnsi="Times New Roman" w:cs="Times New Roman"/>
          <w:shadow/>
          <w:sz w:val="24"/>
          <w:szCs w:val="24"/>
        </w:rPr>
        <w:br/>
      </w:r>
      <w:r>
        <w:rPr>
          <w:rFonts w:ascii="Times New Roman" w:hAnsi="Times New Roman" w:cs="Times New Roman"/>
          <w:shadow/>
          <w:sz w:val="24"/>
          <w:szCs w:val="24"/>
        </w:rPr>
        <w:br/>
      </w:r>
      <w:r>
        <w:rPr>
          <w:rFonts w:ascii="Times New Roman" w:hAnsi="Times New Roman" w:cs="Times New Roman"/>
          <w:shadow/>
          <w:sz w:val="24"/>
          <w:szCs w:val="24"/>
        </w:rPr>
        <w:br/>
      </w:r>
      <w:r>
        <w:rPr>
          <w:rFonts w:ascii="Times New Roman" w:hAnsi="Times New Roman" w:cs="Times New Roman"/>
          <w:shadow/>
          <w:sz w:val="24"/>
          <w:szCs w:val="24"/>
        </w:rPr>
        <w:br/>
      </w:r>
      <w:r>
        <w:rPr>
          <w:rFonts w:ascii="Times New Roman" w:hAnsi="Times New Roman" w:cs="Times New Roman"/>
          <w:shadow/>
          <w:sz w:val="24"/>
          <w:szCs w:val="24"/>
        </w:rPr>
        <w:br/>
      </w:r>
      <w:r>
        <w:rPr>
          <w:rFonts w:ascii="Times New Roman" w:hAnsi="Times New Roman" w:cs="Times New Roman"/>
          <w:shadow/>
          <w:sz w:val="24"/>
          <w:szCs w:val="24"/>
        </w:rPr>
        <w:br/>
      </w:r>
      <w:r>
        <w:rPr>
          <w:rFonts w:ascii="Times New Roman" w:hAnsi="Times New Roman" w:cs="Times New Roman"/>
          <w:shadow/>
          <w:sz w:val="24"/>
          <w:szCs w:val="24"/>
        </w:rPr>
        <w:br/>
      </w:r>
      <w:r>
        <w:rPr>
          <w:rFonts w:ascii="Times New Roman" w:hAnsi="Times New Roman" w:cs="Times New Roman"/>
          <w:shadow/>
          <w:sz w:val="24"/>
          <w:szCs w:val="24"/>
        </w:rPr>
        <w:br/>
      </w:r>
      <w:r>
        <w:rPr>
          <w:rFonts w:ascii="Times New Roman" w:hAnsi="Times New Roman" w:cs="Times New Roman"/>
          <w:shadow/>
          <w:sz w:val="24"/>
          <w:szCs w:val="24"/>
        </w:rPr>
        <w:br/>
      </w:r>
    </w:p>
    <w:p w:rsidR="00FD7F7C" w:rsidRDefault="00FD7F7C" w:rsidP="00254217">
      <w:pPr>
        <w:spacing w:after="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FD7F7C" w:rsidRDefault="00FD7F7C" w:rsidP="00254217">
      <w:pPr>
        <w:spacing w:after="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974B95" w:rsidRDefault="00974B95" w:rsidP="00254217">
      <w:pPr>
        <w:spacing w:after="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4301D3" w:rsidRPr="00EF7EDE" w:rsidRDefault="004301D3" w:rsidP="00F725D4">
      <w:pPr>
        <w:pStyle w:val="NADP"/>
        <w:spacing w:line="240" w:lineRule="auto"/>
        <w:rPr>
          <w:rStyle w:val="nadpis10"/>
          <w:b/>
        </w:rPr>
      </w:pPr>
      <w:bookmarkStart w:id="1" w:name="_Toc270521493"/>
      <w:bookmarkStart w:id="2" w:name="_Toc277604360"/>
      <w:bookmarkStart w:id="3" w:name="_Toc212226491"/>
      <w:bookmarkStart w:id="4" w:name="_Toc212314204"/>
      <w:r w:rsidRPr="00EF7EDE">
        <w:rPr>
          <w:rStyle w:val="nadpis10"/>
          <w:b/>
        </w:rPr>
        <w:lastRenderedPageBreak/>
        <w:t xml:space="preserve">Cieľ </w:t>
      </w:r>
      <w:bookmarkEnd w:id="1"/>
      <w:bookmarkEnd w:id="2"/>
      <w:r>
        <w:rPr>
          <w:rStyle w:val="nadpis10"/>
          <w:b/>
        </w:rPr>
        <w:t>vydania inštrukcie</w:t>
      </w:r>
    </w:p>
    <w:bookmarkEnd w:id="3"/>
    <w:bookmarkEnd w:id="4"/>
    <w:p w:rsidR="004301D3" w:rsidRDefault="004301D3" w:rsidP="00F725D4">
      <w:pPr>
        <w:pStyle w:val="Zkladntext"/>
        <w:spacing w:after="0"/>
        <w:jc w:val="both"/>
        <w:rPr>
          <w:sz w:val="22"/>
          <w:szCs w:val="22"/>
        </w:rPr>
      </w:pPr>
    </w:p>
    <w:p w:rsidR="008C01C4" w:rsidRDefault="00F725D4" w:rsidP="000E5804">
      <w:pPr>
        <w:pStyle w:val="Zkladntext"/>
        <w:spacing w:after="0"/>
        <w:jc w:val="both"/>
        <w:rPr>
          <w:sz w:val="22"/>
          <w:szCs w:val="22"/>
        </w:rPr>
      </w:pPr>
      <w:r w:rsidRPr="00F725D4">
        <w:rPr>
          <w:sz w:val="22"/>
          <w:szCs w:val="22"/>
        </w:rPr>
        <w:t xml:space="preserve">Riadiaci orgán </w:t>
      </w:r>
      <w:r w:rsidR="00240C9D">
        <w:rPr>
          <w:sz w:val="22"/>
          <w:szCs w:val="22"/>
        </w:rPr>
        <w:t xml:space="preserve">pre Operačný program Konkurencieschopnosť a hospodársky rast, ktorý je zároveň poskytovateľom štátnej pomoci a pomoci </w:t>
      </w:r>
      <w:proofErr w:type="spellStart"/>
      <w:r w:rsidR="00240C9D">
        <w:rPr>
          <w:sz w:val="22"/>
          <w:szCs w:val="22"/>
        </w:rPr>
        <w:t>de</w:t>
      </w:r>
      <w:proofErr w:type="spellEnd"/>
      <w:r w:rsidR="00240C9D">
        <w:rPr>
          <w:sz w:val="22"/>
          <w:szCs w:val="22"/>
        </w:rPr>
        <w:t xml:space="preserve"> </w:t>
      </w:r>
      <w:proofErr w:type="spellStart"/>
      <w:r w:rsidR="00240C9D">
        <w:rPr>
          <w:sz w:val="22"/>
          <w:szCs w:val="22"/>
        </w:rPr>
        <w:t>minimis</w:t>
      </w:r>
      <w:proofErr w:type="spellEnd"/>
      <w:r w:rsidR="00240C9D">
        <w:rPr>
          <w:sz w:val="22"/>
          <w:szCs w:val="22"/>
        </w:rPr>
        <w:t xml:space="preserve"> v rámci tohto operačného programu </w:t>
      </w:r>
      <w:r w:rsidR="00240C9D" w:rsidRPr="00F725D4">
        <w:rPr>
          <w:sz w:val="22"/>
          <w:szCs w:val="22"/>
        </w:rPr>
        <w:t>(</w:t>
      </w:r>
      <w:r w:rsidR="00240C9D">
        <w:rPr>
          <w:sz w:val="22"/>
          <w:szCs w:val="22"/>
        </w:rPr>
        <w:t>ďalej len „poskytovateľ</w:t>
      </w:r>
      <w:r w:rsidR="00C3653C">
        <w:rPr>
          <w:sz w:val="22"/>
          <w:szCs w:val="22"/>
        </w:rPr>
        <w:t>“</w:t>
      </w:r>
      <w:r w:rsidR="00240C9D" w:rsidRPr="00F725D4">
        <w:rPr>
          <w:sz w:val="22"/>
          <w:szCs w:val="22"/>
        </w:rPr>
        <w:t>)</w:t>
      </w:r>
      <w:r w:rsidR="00240C9D">
        <w:rPr>
          <w:sz w:val="22"/>
          <w:szCs w:val="22"/>
        </w:rPr>
        <w:t xml:space="preserve"> </w:t>
      </w:r>
      <w:r w:rsidRPr="00F725D4">
        <w:rPr>
          <w:sz w:val="22"/>
          <w:szCs w:val="22"/>
        </w:rPr>
        <w:t>je zodpovedný za riadenie a</w:t>
      </w:r>
      <w:r w:rsidR="00240C9D">
        <w:rPr>
          <w:sz w:val="22"/>
          <w:szCs w:val="22"/>
        </w:rPr>
        <w:t> </w:t>
      </w:r>
      <w:r w:rsidRPr="00F725D4">
        <w:rPr>
          <w:sz w:val="22"/>
          <w:szCs w:val="22"/>
        </w:rPr>
        <w:t>vykonávanie</w:t>
      </w:r>
      <w:r w:rsidR="00240C9D">
        <w:rPr>
          <w:sz w:val="22"/>
          <w:szCs w:val="22"/>
        </w:rPr>
        <w:t xml:space="preserve"> </w:t>
      </w:r>
      <w:r w:rsidRPr="00F725D4">
        <w:rPr>
          <w:sz w:val="22"/>
          <w:szCs w:val="22"/>
        </w:rPr>
        <w:t xml:space="preserve">operačného programu v súlade so zásadou riadneho </w:t>
      </w:r>
      <w:r w:rsidR="00240C9D">
        <w:rPr>
          <w:sz w:val="22"/>
          <w:szCs w:val="22"/>
        </w:rPr>
        <w:t>finančného riadenia. Za týmto účelom je tiež povinnosťou poskytovateľa</w:t>
      </w:r>
      <w:r w:rsidRPr="00F725D4">
        <w:rPr>
          <w:sz w:val="22"/>
          <w:szCs w:val="22"/>
        </w:rPr>
        <w:t xml:space="preserve"> zabezpečenie, aby sa operácie vyberali na financovanie</w:t>
      </w:r>
      <w:r w:rsidR="00240C9D">
        <w:rPr>
          <w:sz w:val="22"/>
          <w:szCs w:val="22"/>
        </w:rPr>
        <w:t xml:space="preserve"> </w:t>
      </w:r>
      <w:r w:rsidRPr="00F725D4">
        <w:rPr>
          <w:sz w:val="22"/>
          <w:szCs w:val="22"/>
        </w:rPr>
        <w:t>v súlade s kritériami vzťahujúcimi sa na operačný program</w:t>
      </w:r>
      <w:r w:rsidR="00240C9D">
        <w:rPr>
          <w:sz w:val="22"/>
          <w:szCs w:val="22"/>
        </w:rPr>
        <w:t xml:space="preserve"> </w:t>
      </w:r>
      <w:r w:rsidRPr="00F725D4">
        <w:rPr>
          <w:sz w:val="22"/>
          <w:szCs w:val="22"/>
        </w:rPr>
        <w:t xml:space="preserve">a aby </w:t>
      </w:r>
      <w:r w:rsidR="00240C9D">
        <w:rPr>
          <w:sz w:val="22"/>
          <w:szCs w:val="22"/>
        </w:rPr>
        <w:t xml:space="preserve">sa </w:t>
      </w:r>
      <w:r w:rsidRPr="00F725D4">
        <w:rPr>
          <w:sz w:val="22"/>
          <w:szCs w:val="22"/>
        </w:rPr>
        <w:t>dodržiavali uplatniteľné predpisy Spoločenstva</w:t>
      </w:r>
      <w:r w:rsidR="00240C9D">
        <w:rPr>
          <w:sz w:val="22"/>
          <w:szCs w:val="22"/>
        </w:rPr>
        <w:t xml:space="preserve"> </w:t>
      </w:r>
      <w:r w:rsidRPr="00F725D4">
        <w:rPr>
          <w:sz w:val="22"/>
          <w:szCs w:val="22"/>
        </w:rPr>
        <w:t>a vnútroštátne predpisy p</w:t>
      </w:r>
      <w:r w:rsidR="00240C9D">
        <w:rPr>
          <w:sz w:val="22"/>
          <w:szCs w:val="22"/>
        </w:rPr>
        <w:t xml:space="preserve">očas celého obdobia vykonávania. Jednou z podmienok </w:t>
      </w:r>
      <w:r w:rsidR="00693C44">
        <w:rPr>
          <w:sz w:val="22"/>
          <w:szCs w:val="22"/>
        </w:rPr>
        <w:t>poskytnutia pomoci</w:t>
      </w:r>
      <w:r w:rsidR="00240C9D">
        <w:rPr>
          <w:sz w:val="22"/>
          <w:szCs w:val="22"/>
        </w:rPr>
        <w:t xml:space="preserve"> v rámci operačného programu Konkurencieschopnosť a hospodársky rast je, aby nebola pomoc poskytnutá tzv. podniku v ťažkostiach. Cieľom vydania tejto inštrukcie je zo strany poskytovateľa </w:t>
      </w:r>
      <w:r w:rsidR="00693C44">
        <w:rPr>
          <w:sz w:val="22"/>
          <w:szCs w:val="22"/>
        </w:rPr>
        <w:t xml:space="preserve">poskytnúť potenciálnemu žiadateľovi informácie, resp. „nástroj“ pre svoje samostatné predbežné posúdenie tejto podmienky </w:t>
      </w:r>
      <w:r w:rsidR="00240C9D">
        <w:rPr>
          <w:sz w:val="22"/>
          <w:szCs w:val="22"/>
        </w:rPr>
        <w:t xml:space="preserve">ako základného predpokladu pre </w:t>
      </w:r>
      <w:r w:rsidR="00693C44">
        <w:rPr>
          <w:sz w:val="22"/>
          <w:szCs w:val="22"/>
        </w:rPr>
        <w:t>poskytnutie</w:t>
      </w:r>
      <w:r w:rsidR="00240C9D">
        <w:rPr>
          <w:sz w:val="22"/>
          <w:szCs w:val="22"/>
        </w:rPr>
        <w:t xml:space="preserve"> pomoci.</w:t>
      </w:r>
      <w:r w:rsidR="00C3653C">
        <w:rPr>
          <w:sz w:val="22"/>
          <w:szCs w:val="22"/>
        </w:rPr>
        <w:t xml:space="preserve"> Za týmto účelom bol ti</w:t>
      </w:r>
      <w:r w:rsidR="002D3D2B">
        <w:rPr>
          <w:sz w:val="22"/>
          <w:szCs w:val="22"/>
        </w:rPr>
        <w:t>ež vypracovaný súbor v MS Excel</w:t>
      </w:r>
      <w:r w:rsidR="00C3653C">
        <w:rPr>
          <w:sz w:val="22"/>
          <w:szCs w:val="22"/>
        </w:rPr>
        <w:t xml:space="preserve"> pod názvom </w:t>
      </w:r>
      <w:r w:rsidR="00C3653C" w:rsidRPr="00F20428">
        <w:rPr>
          <w:sz w:val="22"/>
          <w:szCs w:val="22"/>
        </w:rPr>
        <w:t>„Rý</w:t>
      </w:r>
      <w:r w:rsidR="007C0548" w:rsidRPr="007C0548">
        <w:rPr>
          <w:sz w:val="22"/>
          <w:szCs w:val="22"/>
        </w:rPr>
        <w:t xml:space="preserve">chly test identifikácie podniku v ťažkostiach“, ktorý na základe vložených údajov potenciálneho žiadateľa nezáväzne určí, či je alebo nie je žiadateľ podnikom v ťažkostiach. </w:t>
      </w:r>
      <w:r w:rsidR="000C19E9">
        <w:rPr>
          <w:sz w:val="22"/>
          <w:szCs w:val="22"/>
        </w:rPr>
        <w:t>Súčasťou tejto inštrukcie je tiež inštrukcia k praktickej aplikácii „Rýchleho testu identifikácie podniku v ťažkostiach“ v nadväznosti na rôzne právne formy a spôsoby vedenia účtovníctv</w:t>
      </w:r>
      <w:r w:rsidR="008C01C4">
        <w:rPr>
          <w:sz w:val="22"/>
          <w:szCs w:val="22"/>
        </w:rPr>
        <w:t xml:space="preserve">a potenciálneho žiadateľa. </w:t>
      </w:r>
      <w:r w:rsidR="008C01C4" w:rsidRPr="007C0548">
        <w:rPr>
          <w:sz w:val="22"/>
          <w:szCs w:val="22"/>
        </w:rPr>
        <w:t>Uvedený súbor tvorí prílohu č. 1 tejto inštrukcie.</w:t>
      </w:r>
    </w:p>
    <w:p w:rsidR="00F725D4" w:rsidRPr="00F20428" w:rsidRDefault="008C01C4" w:rsidP="000E5804">
      <w:pPr>
        <w:pStyle w:val="Zkladnte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Inštrukcia tiež obsahuje definovanie osobitného postupu</w:t>
      </w:r>
      <w:r w:rsidR="00DC14A9">
        <w:rPr>
          <w:sz w:val="22"/>
          <w:szCs w:val="22"/>
        </w:rPr>
        <w:t xml:space="preserve"> preukazovania</w:t>
      </w:r>
      <w:r>
        <w:rPr>
          <w:sz w:val="22"/>
          <w:szCs w:val="22"/>
        </w:rPr>
        <w:t xml:space="preserve"> identifikácie podniku v ťažkostiach v niektorých špecifických prípadoch.</w:t>
      </w:r>
    </w:p>
    <w:p w:rsidR="00F725D4" w:rsidRDefault="00F725D4" w:rsidP="000E5804">
      <w:pPr>
        <w:pStyle w:val="Zkladntext"/>
        <w:spacing w:after="0"/>
        <w:jc w:val="both"/>
        <w:rPr>
          <w:sz w:val="22"/>
          <w:szCs w:val="22"/>
        </w:rPr>
      </w:pPr>
    </w:p>
    <w:p w:rsidR="00974B95" w:rsidRDefault="00974B95" w:rsidP="000E5804">
      <w:pPr>
        <w:pStyle w:val="Zkladntext"/>
        <w:spacing w:after="0"/>
        <w:jc w:val="both"/>
        <w:rPr>
          <w:sz w:val="22"/>
          <w:szCs w:val="22"/>
        </w:rPr>
      </w:pPr>
    </w:p>
    <w:p w:rsidR="009754A6" w:rsidRPr="000C19E9" w:rsidRDefault="009754A6" w:rsidP="000C19E9">
      <w:pPr>
        <w:pStyle w:val="NADP"/>
        <w:spacing w:line="240" w:lineRule="auto"/>
        <w:rPr>
          <w:rStyle w:val="nadpis10"/>
          <w:b/>
        </w:rPr>
      </w:pPr>
      <w:r w:rsidRPr="000C19E9">
        <w:rPr>
          <w:rStyle w:val="nadpis10"/>
          <w:b/>
        </w:rPr>
        <w:t>Praktická aplikácia</w:t>
      </w:r>
    </w:p>
    <w:p w:rsidR="009754A6" w:rsidRDefault="009754A6" w:rsidP="000E5804">
      <w:pPr>
        <w:spacing w:after="0" w:line="240" w:lineRule="auto"/>
        <w:jc w:val="both"/>
        <w:rPr>
          <w:rFonts w:ascii="Arial Narrow" w:hAnsi="Arial Narrow"/>
        </w:rPr>
      </w:pPr>
    </w:p>
    <w:p w:rsidR="00B61B78" w:rsidRDefault="008A0B4A" w:rsidP="000C19E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Praktická aplikácia „Rýchleho testu podniku v ťažkostiach“ závisí od zadania relevantných údajov do súboru MS Excel, pričom je potrebné pri zadávaní údajov brať do úvahy skutočnosť, že jednotlivý žiadatelia môžu mať rôznu právnu formu a zároveň môžu</w:t>
      </w:r>
      <w:r w:rsidR="00B61B78">
        <w:rPr>
          <w:rFonts w:ascii="Arial Narrow" w:hAnsi="Arial Narrow"/>
        </w:rPr>
        <w:t xml:space="preserve"> viesť účtovníctvo rozličným spôsobom. Vzhľadom na oprávnenosť právnej formy žiadateľov a možnosti viesť jednoduché, resp. podvojné účtovníctvo vznikajú nasledovné kombinácie:</w:t>
      </w:r>
    </w:p>
    <w:p w:rsidR="005C79E8" w:rsidRDefault="005C79E8" w:rsidP="00B61B78">
      <w:pPr>
        <w:spacing w:after="0" w:line="240" w:lineRule="auto"/>
        <w:ind w:left="360"/>
        <w:jc w:val="both"/>
        <w:rPr>
          <w:rFonts w:ascii="Arial Narrow" w:hAnsi="Arial Narrow"/>
        </w:rPr>
      </w:pPr>
    </w:p>
    <w:tbl>
      <w:tblPr>
        <w:tblW w:w="864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976"/>
        <w:gridCol w:w="851"/>
        <w:gridCol w:w="1417"/>
        <w:gridCol w:w="851"/>
        <w:gridCol w:w="1542"/>
      </w:tblGrid>
      <w:tr w:rsidR="005C79E8" w:rsidRPr="00B61B78" w:rsidTr="005C79E8">
        <w:trPr>
          <w:trHeight w:val="645"/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B61B78" w:rsidRPr="00B61B78" w:rsidRDefault="00B61B78" w:rsidP="00B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>Označenie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F7F7F"/>
            <w:vAlign w:val="center"/>
            <w:hideMark/>
          </w:tcPr>
          <w:p w:rsidR="00B61B78" w:rsidRPr="00B61B78" w:rsidRDefault="00B61B78" w:rsidP="00B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>Typ spoločnosti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B61B78" w:rsidRPr="00B61B78" w:rsidRDefault="00B61B78" w:rsidP="00B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>Označenie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F7F7F"/>
            <w:vAlign w:val="center"/>
            <w:hideMark/>
          </w:tcPr>
          <w:p w:rsidR="00B61B78" w:rsidRPr="00B61B78" w:rsidRDefault="00B61B78" w:rsidP="00B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>Spôsob vedenia účtovníctva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B61B78" w:rsidRPr="00B61B78" w:rsidRDefault="00B61B78" w:rsidP="00B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>Označenie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B61B78" w:rsidRPr="00B61B78" w:rsidRDefault="00B61B78" w:rsidP="00B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>Spôsob vedenia účtovníctva</w:t>
            </w:r>
          </w:p>
        </w:tc>
      </w:tr>
      <w:tr w:rsidR="005C79E8" w:rsidRPr="00B61B78" w:rsidTr="005C79E8">
        <w:trPr>
          <w:trHeight w:val="585"/>
          <w:jc w:val="center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61B78" w:rsidRPr="00B61B78" w:rsidRDefault="00B61B78" w:rsidP="00B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B61B78" w:rsidRPr="00B61B78" w:rsidRDefault="00B61B78" w:rsidP="00B61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Spoločnosť, ktorá povinne vytvára základné imanie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61B78" w:rsidRPr="00B61B78" w:rsidRDefault="00B61B78" w:rsidP="00B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B61B78" w:rsidRPr="00B61B78" w:rsidRDefault="005C79E8" w:rsidP="00B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podvojné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61B78" w:rsidRPr="00B61B78" w:rsidRDefault="00B61B78" w:rsidP="00B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II.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61B78" w:rsidRPr="00B61B78" w:rsidRDefault="005C79E8" w:rsidP="00B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jednoduché</w:t>
            </w:r>
          </w:p>
        </w:tc>
      </w:tr>
      <w:tr w:rsidR="005C79E8" w:rsidRPr="00B61B78" w:rsidTr="005C79E8">
        <w:trPr>
          <w:trHeight w:val="300"/>
          <w:jc w:val="center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9E8" w:rsidRPr="00B61B78" w:rsidRDefault="005C79E8" w:rsidP="00B61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9E8" w:rsidRPr="00B61B78" w:rsidRDefault="005C79E8" w:rsidP="00B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spoločnosť s ručením obmedzeným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9E8" w:rsidRPr="00B61B78" w:rsidRDefault="005C79E8" w:rsidP="00B61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9E8" w:rsidRPr="00B61B78" w:rsidRDefault="005C79E8" w:rsidP="00BA6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9E8" w:rsidRPr="00B61B78" w:rsidRDefault="005C79E8" w:rsidP="00B61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E8" w:rsidRPr="00B61B78" w:rsidRDefault="005C79E8" w:rsidP="00BA6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C79E8" w:rsidRPr="00B61B78" w:rsidTr="005C79E8">
        <w:trPr>
          <w:trHeight w:val="300"/>
          <w:jc w:val="center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9E8" w:rsidRPr="00B61B78" w:rsidRDefault="005C79E8" w:rsidP="00B61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9E8" w:rsidRPr="00B61B78" w:rsidRDefault="005C79E8" w:rsidP="00B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akciová spoločnosť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9E8" w:rsidRPr="00B61B78" w:rsidRDefault="005C79E8" w:rsidP="00B61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9E8" w:rsidRPr="00B61B78" w:rsidRDefault="005C79E8" w:rsidP="00BA6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9E8" w:rsidRPr="00B61B78" w:rsidRDefault="005C79E8" w:rsidP="00B61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E8" w:rsidRPr="00B61B78" w:rsidRDefault="005C79E8" w:rsidP="00BA6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C79E8" w:rsidRPr="00B61B78" w:rsidTr="005C79E8">
        <w:trPr>
          <w:trHeight w:val="315"/>
          <w:jc w:val="center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9E8" w:rsidRPr="00B61B78" w:rsidRDefault="005C79E8" w:rsidP="00B61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9E8" w:rsidRPr="00B61B78" w:rsidRDefault="005C79E8" w:rsidP="00B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družstvo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9E8" w:rsidRPr="00B61B78" w:rsidRDefault="005C79E8" w:rsidP="00B61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9E8" w:rsidRPr="00B61B78" w:rsidRDefault="005C79E8" w:rsidP="00BA6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9E8" w:rsidRPr="00B61B78" w:rsidRDefault="005C79E8" w:rsidP="00B61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E8" w:rsidRPr="00B61B78" w:rsidRDefault="005C79E8" w:rsidP="00BA6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C79E8" w:rsidRPr="00B61B78" w:rsidTr="005C79E8">
        <w:trPr>
          <w:trHeight w:val="630"/>
          <w:jc w:val="center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61B78" w:rsidRPr="00B61B78" w:rsidRDefault="00B61B78" w:rsidP="00B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B61B78" w:rsidRPr="00B61B78" w:rsidRDefault="00B61B78" w:rsidP="00B61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Spoločnosť, kde aspoň určitý počet členov ručí neobmedzene za dlhy firmy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61B78" w:rsidRPr="00B61B78" w:rsidRDefault="00B61B78" w:rsidP="00B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B61B78" w:rsidRPr="00B61B78" w:rsidRDefault="005C79E8" w:rsidP="00B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podvojné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61B78" w:rsidRPr="00B61B78" w:rsidRDefault="00B61B78" w:rsidP="00B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II.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61B78" w:rsidRPr="00B61B78" w:rsidRDefault="005C79E8" w:rsidP="00B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jednoduché</w:t>
            </w:r>
          </w:p>
        </w:tc>
      </w:tr>
      <w:tr w:rsidR="005C79E8" w:rsidRPr="00B61B78" w:rsidTr="005C79E8">
        <w:trPr>
          <w:trHeight w:val="300"/>
          <w:jc w:val="center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78" w:rsidRPr="00B61B78" w:rsidRDefault="00B61B78" w:rsidP="00B61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8" w:rsidRPr="00B61B78" w:rsidRDefault="00B61B78" w:rsidP="00B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živnostník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78" w:rsidRPr="00B61B78" w:rsidRDefault="00B61B78" w:rsidP="00B61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8" w:rsidRPr="00B61B78" w:rsidRDefault="00B61B78" w:rsidP="00B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78" w:rsidRPr="00B61B78" w:rsidRDefault="00B61B78" w:rsidP="00B61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B78" w:rsidRPr="00B61B78" w:rsidRDefault="00B61B78" w:rsidP="00B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5C79E8" w:rsidRPr="00B61B78" w:rsidTr="005C79E8">
        <w:trPr>
          <w:trHeight w:val="300"/>
          <w:jc w:val="center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78" w:rsidRPr="00B61B78" w:rsidRDefault="00B61B78" w:rsidP="00B61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8" w:rsidRPr="00B61B78" w:rsidRDefault="00B61B78" w:rsidP="00B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komanditná spoločnosť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78" w:rsidRPr="00B61B78" w:rsidRDefault="00B61B78" w:rsidP="00B61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8" w:rsidRPr="00B61B78" w:rsidRDefault="00B61B78" w:rsidP="00B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78" w:rsidRPr="00B61B78" w:rsidRDefault="00B61B78" w:rsidP="00B61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B78" w:rsidRPr="00B61B78" w:rsidRDefault="00B61B78" w:rsidP="00B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5C79E8" w:rsidRPr="00B61B78" w:rsidTr="005C79E8">
        <w:trPr>
          <w:trHeight w:val="315"/>
          <w:jc w:val="center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78" w:rsidRPr="00B61B78" w:rsidRDefault="00B61B78" w:rsidP="00B61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8" w:rsidRPr="00B61B78" w:rsidRDefault="00B61B78" w:rsidP="00B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verejná obchodná spoločnosť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78" w:rsidRPr="00B61B78" w:rsidRDefault="00B61B78" w:rsidP="00B61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8" w:rsidRPr="00B61B78" w:rsidRDefault="00B61B78" w:rsidP="00B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78" w:rsidRPr="00B61B78" w:rsidRDefault="00B61B78" w:rsidP="00B61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B78" w:rsidRPr="00B61B78" w:rsidRDefault="00B61B78" w:rsidP="00B6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</w:tbl>
    <w:p w:rsidR="00B61B78" w:rsidRDefault="00B61B78" w:rsidP="005C79E8">
      <w:pPr>
        <w:spacing w:after="0" w:line="240" w:lineRule="auto"/>
        <w:jc w:val="both"/>
        <w:rPr>
          <w:rFonts w:ascii="Arial Narrow" w:hAnsi="Arial Narrow"/>
        </w:rPr>
      </w:pPr>
    </w:p>
    <w:p w:rsidR="00974B95" w:rsidRDefault="00974B95" w:rsidP="005C79E8">
      <w:pPr>
        <w:spacing w:after="0" w:line="240" w:lineRule="auto"/>
        <w:jc w:val="both"/>
        <w:rPr>
          <w:rFonts w:ascii="Arial Narrow" w:hAnsi="Arial Narrow"/>
        </w:rPr>
      </w:pPr>
    </w:p>
    <w:p w:rsidR="00974B95" w:rsidRDefault="00974B95" w:rsidP="005C79E8">
      <w:pPr>
        <w:spacing w:after="0" w:line="240" w:lineRule="auto"/>
        <w:jc w:val="both"/>
        <w:rPr>
          <w:rFonts w:ascii="Arial Narrow" w:hAnsi="Arial Narrow"/>
        </w:rPr>
      </w:pPr>
    </w:p>
    <w:p w:rsidR="00974B95" w:rsidRDefault="00974B95" w:rsidP="005C79E8">
      <w:pPr>
        <w:spacing w:after="0" w:line="240" w:lineRule="auto"/>
        <w:jc w:val="both"/>
        <w:rPr>
          <w:rFonts w:ascii="Arial Narrow" w:hAnsi="Arial Narrow"/>
        </w:rPr>
      </w:pPr>
    </w:p>
    <w:p w:rsidR="00974B95" w:rsidRDefault="00974B95" w:rsidP="005C79E8">
      <w:pPr>
        <w:spacing w:after="0" w:line="240" w:lineRule="auto"/>
        <w:jc w:val="both"/>
        <w:rPr>
          <w:rFonts w:ascii="Arial Narrow" w:hAnsi="Arial Narrow"/>
        </w:rPr>
      </w:pPr>
    </w:p>
    <w:p w:rsidR="00974B95" w:rsidRDefault="00974B95" w:rsidP="005C79E8">
      <w:pPr>
        <w:spacing w:after="0" w:line="240" w:lineRule="auto"/>
        <w:jc w:val="both"/>
        <w:rPr>
          <w:rFonts w:ascii="Arial Narrow" w:hAnsi="Arial Narrow"/>
        </w:rPr>
      </w:pPr>
    </w:p>
    <w:p w:rsidR="00974B95" w:rsidRDefault="00974B95" w:rsidP="005C79E8">
      <w:pPr>
        <w:spacing w:after="0" w:line="240" w:lineRule="auto"/>
        <w:jc w:val="both"/>
        <w:rPr>
          <w:rFonts w:ascii="Arial Narrow" w:hAnsi="Arial Narrow"/>
        </w:rPr>
      </w:pPr>
    </w:p>
    <w:p w:rsidR="00974B95" w:rsidRDefault="00974B95" w:rsidP="005C79E8">
      <w:pPr>
        <w:spacing w:after="0" w:line="240" w:lineRule="auto"/>
        <w:jc w:val="both"/>
        <w:rPr>
          <w:rFonts w:ascii="Arial Narrow" w:hAnsi="Arial Narrow"/>
        </w:rPr>
      </w:pPr>
    </w:p>
    <w:p w:rsidR="00974B95" w:rsidRDefault="00974B95" w:rsidP="005C79E8">
      <w:pPr>
        <w:spacing w:after="0" w:line="240" w:lineRule="auto"/>
        <w:jc w:val="both"/>
        <w:rPr>
          <w:rFonts w:ascii="Arial Narrow" w:hAnsi="Arial Narrow"/>
        </w:rPr>
      </w:pPr>
    </w:p>
    <w:p w:rsidR="005C79E8" w:rsidRDefault="005C79E8" w:rsidP="005C79E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Potenciálny žiadateľ je povinný </w:t>
      </w:r>
      <w:r w:rsidR="008A0B4A">
        <w:rPr>
          <w:rFonts w:ascii="Arial Narrow" w:hAnsi="Arial Narrow"/>
        </w:rPr>
        <w:t>vybrať</w:t>
      </w:r>
      <w:r>
        <w:rPr>
          <w:rFonts w:ascii="Arial Narrow" w:hAnsi="Arial Narrow"/>
        </w:rPr>
        <w:t xml:space="preserve"> jednu z možností kombinácie v závislosti od </w:t>
      </w:r>
      <w:r w:rsidR="00546B23">
        <w:rPr>
          <w:rFonts w:ascii="Arial Narrow" w:hAnsi="Arial Narrow"/>
        </w:rPr>
        <w:t>svojej</w:t>
      </w:r>
      <w:r>
        <w:rPr>
          <w:rFonts w:ascii="Arial Narrow" w:hAnsi="Arial Narrow"/>
        </w:rPr>
        <w:t xml:space="preserve"> právnej formy a spôsobu vedenia účtovníctva. Z vyššie uvedenej tabuľky vyplývajú 3 základné </w:t>
      </w:r>
      <w:r w:rsidR="008A0B4A">
        <w:rPr>
          <w:rFonts w:ascii="Arial Narrow" w:hAnsi="Arial Narrow"/>
        </w:rPr>
        <w:t>varianty/</w:t>
      </w:r>
      <w:r>
        <w:rPr>
          <w:rFonts w:ascii="Arial Narrow" w:hAnsi="Arial Narrow"/>
        </w:rPr>
        <w:t>spôsoby posúdenia podmienok podniku v ťažkostiach, ktorými sú:</w:t>
      </w:r>
    </w:p>
    <w:p w:rsidR="00BA6D81" w:rsidRDefault="00BA6D81" w:rsidP="005C79E8">
      <w:pPr>
        <w:spacing w:after="0" w:line="240" w:lineRule="auto"/>
        <w:jc w:val="both"/>
        <w:rPr>
          <w:rFonts w:ascii="Arial Narrow" w:hAnsi="Arial Narrow"/>
        </w:rPr>
      </w:pPr>
    </w:p>
    <w:p w:rsidR="005C79E8" w:rsidRPr="005C79E8" w:rsidRDefault="005C79E8" w:rsidP="005C79E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b/>
        </w:rPr>
      </w:pPr>
      <w:r w:rsidRPr="005C79E8">
        <w:rPr>
          <w:rFonts w:ascii="Arial Narrow" w:hAnsi="Arial Narrow"/>
          <w:b/>
        </w:rPr>
        <w:t>AI</w:t>
      </w:r>
    </w:p>
    <w:p w:rsidR="005C79E8" w:rsidRPr="005C79E8" w:rsidRDefault="005C79E8" w:rsidP="005C79E8">
      <w:pPr>
        <w:spacing w:after="0" w:line="24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spoločnosti, ktoré povinne vytvárajú základné imanie, pričom tieto subjekty účtujú v systéme podvojného účtovníctva</w:t>
      </w:r>
    </w:p>
    <w:p w:rsidR="005C79E8" w:rsidRPr="005C79E8" w:rsidRDefault="005C79E8" w:rsidP="005C79E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b/>
        </w:rPr>
      </w:pPr>
      <w:r w:rsidRPr="005C79E8">
        <w:rPr>
          <w:rFonts w:ascii="Arial Narrow" w:hAnsi="Arial Narrow"/>
          <w:b/>
        </w:rPr>
        <w:t>BI</w:t>
      </w:r>
    </w:p>
    <w:p w:rsidR="005C79E8" w:rsidRPr="005C79E8" w:rsidRDefault="005C79E8" w:rsidP="005C79E8">
      <w:pPr>
        <w:pStyle w:val="Odsekzoznamu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spoločnosti</w:t>
      </w:r>
      <w:r w:rsidRPr="001D1149">
        <w:rPr>
          <w:rFonts w:ascii="Arial Narrow" w:hAnsi="Arial Narrow"/>
        </w:rPr>
        <w:t>, kde aspoň určitý počet členov ručí neobmedzene za dlhy firmy</w:t>
      </w:r>
      <w:r>
        <w:rPr>
          <w:rFonts w:ascii="Arial Narrow" w:hAnsi="Arial Narrow"/>
        </w:rPr>
        <w:t xml:space="preserve"> a zároveň spoločnosť účtuje v systéme podvojného účtovníctva</w:t>
      </w:r>
    </w:p>
    <w:p w:rsidR="00A50FBA" w:rsidRPr="00A50FBA" w:rsidRDefault="005C79E8" w:rsidP="005C79E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</w:rPr>
      </w:pPr>
      <w:r w:rsidRPr="00A50FBA">
        <w:rPr>
          <w:rFonts w:ascii="Arial Narrow" w:hAnsi="Arial Narrow"/>
          <w:b/>
        </w:rPr>
        <w:t>BII</w:t>
      </w:r>
    </w:p>
    <w:p w:rsidR="005C79E8" w:rsidRPr="00A50FBA" w:rsidRDefault="005C79E8" w:rsidP="00A50FBA">
      <w:pPr>
        <w:pStyle w:val="Odsekzoznamu"/>
        <w:spacing w:after="0" w:line="240" w:lineRule="auto"/>
        <w:jc w:val="both"/>
        <w:rPr>
          <w:rFonts w:ascii="Arial Narrow" w:hAnsi="Arial Narrow"/>
        </w:rPr>
      </w:pPr>
      <w:r w:rsidRPr="00A50FBA">
        <w:rPr>
          <w:rFonts w:ascii="Arial Narrow" w:hAnsi="Arial Narrow"/>
        </w:rPr>
        <w:t>spoločnosti, kde aspoň určitý počet členov ručí neobmedzene za dlhy firmy a zároveň spoločnosť účtuje v jednoduchom účtovníctve</w:t>
      </w:r>
    </w:p>
    <w:p w:rsidR="00564DAF" w:rsidRDefault="00564DAF" w:rsidP="005C79E8">
      <w:pPr>
        <w:spacing w:after="0" w:line="240" w:lineRule="auto"/>
        <w:jc w:val="both"/>
        <w:rPr>
          <w:rFonts w:ascii="Arial Narrow" w:hAnsi="Arial Narrow"/>
        </w:rPr>
      </w:pPr>
    </w:p>
    <w:p w:rsidR="005C79E8" w:rsidRDefault="005C79E8" w:rsidP="005C79E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Podľa </w:t>
      </w:r>
      <w:r w:rsidR="009754A6">
        <w:rPr>
          <w:rFonts w:ascii="Arial Narrow" w:hAnsi="Arial Narrow"/>
        </w:rPr>
        <w:t>vybraného variantu</w:t>
      </w:r>
      <w:r>
        <w:rPr>
          <w:rFonts w:ascii="Arial Narrow" w:hAnsi="Arial Narrow"/>
        </w:rPr>
        <w:t xml:space="preserve"> </w:t>
      </w:r>
      <w:r w:rsidR="009754A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</w:t>
      </w:r>
      <w:r w:rsidR="00564DAF">
        <w:rPr>
          <w:rFonts w:ascii="Arial Narrow" w:hAnsi="Arial Narrow"/>
        </w:rPr>
        <w:t>rozličnosti</w:t>
      </w:r>
      <w:r>
        <w:rPr>
          <w:rFonts w:ascii="Arial Narrow" w:hAnsi="Arial Narrow"/>
        </w:rPr>
        <w:t xml:space="preserve"> vedenia účtovníctva dochádza k</w:t>
      </w:r>
      <w:r w:rsidR="009754A6">
        <w:rPr>
          <w:rFonts w:ascii="Arial Narrow" w:hAnsi="Arial Narrow"/>
        </w:rPr>
        <w:t> </w:t>
      </w:r>
      <w:r>
        <w:rPr>
          <w:rFonts w:ascii="Arial Narrow" w:hAnsi="Arial Narrow"/>
        </w:rPr>
        <w:t>posudzovaniu</w:t>
      </w:r>
      <w:r w:rsidR="009754A6">
        <w:rPr>
          <w:rFonts w:ascii="Arial Narrow" w:hAnsi="Arial Narrow"/>
        </w:rPr>
        <w:t xml:space="preserve"> a porovnávaniu</w:t>
      </w:r>
      <w:r>
        <w:rPr>
          <w:rFonts w:ascii="Arial Narrow" w:hAnsi="Arial Narrow"/>
        </w:rPr>
        <w:t xml:space="preserve"> jednotlivých údajov účtovnej závierky spoločnosti pre identifikáciu podniku v ťažkostiach.</w:t>
      </w:r>
    </w:p>
    <w:p w:rsidR="005C79E8" w:rsidRDefault="005C79E8" w:rsidP="005C79E8">
      <w:pPr>
        <w:spacing w:after="0" w:line="240" w:lineRule="auto"/>
        <w:jc w:val="both"/>
        <w:rPr>
          <w:rFonts w:ascii="Arial Narrow" w:hAnsi="Arial Narrow"/>
        </w:rPr>
      </w:pPr>
    </w:p>
    <w:p w:rsidR="005C79E8" w:rsidRPr="003D04A8" w:rsidRDefault="005C79E8" w:rsidP="005C79E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3D04A8">
        <w:rPr>
          <w:rFonts w:ascii="Arial Narrow" w:hAnsi="Arial Narrow"/>
          <w:b/>
          <w:u w:val="single"/>
        </w:rPr>
        <w:t>Variant AI</w:t>
      </w:r>
    </w:p>
    <w:p w:rsidR="005C79E8" w:rsidRDefault="005C79E8" w:rsidP="005C79E8">
      <w:pPr>
        <w:spacing w:after="0" w:line="240" w:lineRule="auto"/>
        <w:jc w:val="both"/>
        <w:rPr>
          <w:rFonts w:ascii="Arial Narrow" w:hAnsi="Arial Narrow"/>
        </w:rPr>
      </w:pPr>
    </w:p>
    <w:p w:rsidR="00564DAF" w:rsidRDefault="00564DAF" w:rsidP="00564DAF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tomto prípade dochádza k posúdeniu výšky vlastného imania spoločnosti a následne jeho porovnaniu k hodnote základného imania a to za bežné ako aj bezprostredne predchádzajúce účtovné obdobie. </w:t>
      </w:r>
      <w:r w:rsidR="00C3653C">
        <w:rPr>
          <w:rFonts w:ascii="Arial Narrow" w:hAnsi="Arial Narrow"/>
        </w:rPr>
        <w:t>Do rýchleho testu identifikácie podniku v ťažkostiach</w:t>
      </w:r>
      <w:r>
        <w:rPr>
          <w:rFonts w:ascii="Arial Narrow" w:hAnsi="Arial Narrow"/>
        </w:rPr>
        <w:t xml:space="preserve"> sa vypĺňajú údaje z riadkov 67 a 68 Súvahy r. 201</w:t>
      </w:r>
      <w:r w:rsidR="00CF3EB9">
        <w:rPr>
          <w:rFonts w:ascii="Arial Narrow" w:hAnsi="Arial Narrow"/>
        </w:rPr>
        <w:t>2</w:t>
      </w:r>
      <w:r>
        <w:rPr>
          <w:rFonts w:ascii="Arial Narrow" w:hAnsi="Arial Narrow"/>
        </w:rPr>
        <w:t>.</w:t>
      </w:r>
    </w:p>
    <w:p w:rsidR="005C79E8" w:rsidRDefault="005C79E8" w:rsidP="005C79E8">
      <w:pPr>
        <w:spacing w:after="0" w:line="240" w:lineRule="auto"/>
        <w:jc w:val="both"/>
        <w:rPr>
          <w:rFonts w:ascii="Arial Narrow" w:hAnsi="Arial Narrow"/>
        </w:rPr>
      </w:pPr>
    </w:p>
    <w:p w:rsidR="005C79E8" w:rsidRPr="00C3653C" w:rsidRDefault="005C79E8" w:rsidP="005C79E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C3653C">
        <w:rPr>
          <w:rFonts w:ascii="Arial Narrow" w:hAnsi="Arial Narrow"/>
          <w:b/>
          <w:u w:val="single"/>
        </w:rPr>
        <w:t>Variant BI</w:t>
      </w:r>
    </w:p>
    <w:p w:rsidR="00564DAF" w:rsidRDefault="00564DAF" w:rsidP="00564DAF">
      <w:pPr>
        <w:spacing w:after="0" w:line="240" w:lineRule="auto"/>
        <w:jc w:val="both"/>
        <w:rPr>
          <w:rFonts w:ascii="Arial Narrow" w:hAnsi="Arial Narrow"/>
        </w:rPr>
      </w:pPr>
    </w:p>
    <w:p w:rsidR="00564DAF" w:rsidRDefault="00564DAF" w:rsidP="00564DAF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tomto prípade dochádza k posúdeniu výšky vlastného imania </w:t>
      </w:r>
      <w:r w:rsidR="00DA21DA">
        <w:rPr>
          <w:rFonts w:ascii="Arial Narrow" w:hAnsi="Arial Narrow"/>
        </w:rPr>
        <w:t xml:space="preserve">a následne k posúdeniu </w:t>
      </w:r>
      <w:r>
        <w:rPr>
          <w:rFonts w:ascii="Arial Narrow" w:hAnsi="Arial Narrow"/>
        </w:rPr>
        <w:t>dosiahnutého hospodárskeho výsledku spoločnosti</w:t>
      </w:r>
      <w:r w:rsidR="00DA21DA">
        <w:rPr>
          <w:rFonts w:ascii="Arial Narrow" w:hAnsi="Arial Narrow"/>
        </w:rPr>
        <w:t>. Následne dochádza k vzájomnému porovnaniu vlastného imania a hospodárskeho výsledku</w:t>
      </w:r>
      <w:r>
        <w:rPr>
          <w:rFonts w:ascii="Arial Narrow" w:hAnsi="Arial Narrow"/>
        </w:rPr>
        <w:t xml:space="preserve"> a to za bežné ako aj bezprostredne predchádzajúce účtovné obdobie. </w:t>
      </w:r>
      <w:r w:rsidR="00C3653C">
        <w:rPr>
          <w:rFonts w:ascii="Arial Narrow" w:hAnsi="Arial Narrow"/>
        </w:rPr>
        <w:t xml:space="preserve">Do rýchleho testu identifikácie podniku v ťažkostiach </w:t>
      </w:r>
      <w:r>
        <w:rPr>
          <w:rFonts w:ascii="Arial Narrow" w:hAnsi="Arial Narrow"/>
        </w:rPr>
        <w:t>sa vypĺňajú údaje z riadkov 67 a 87 Súvahy r. 201</w:t>
      </w:r>
      <w:r w:rsidR="00CF3EB9">
        <w:rPr>
          <w:rFonts w:ascii="Arial Narrow" w:hAnsi="Arial Narrow"/>
        </w:rPr>
        <w:t>2</w:t>
      </w:r>
      <w:r>
        <w:rPr>
          <w:rFonts w:ascii="Arial Narrow" w:hAnsi="Arial Narrow"/>
        </w:rPr>
        <w:t>.</w:t>
      </w:r>
    </w:p>
    <w:p w:rsidR="005C79E8" w:rsidRDefault="005C79E8" w:rsidP="005C79E8">
      <w:pPr>
        <w:spacing w:after="0" w:line="240" w:lineRule="auto"/>
        <w:jc w:val="both"/>
        <w:rPr>
          <w:rFonts w:ascii="Arial Narrow" w:hAnsi="Arial Narrow"/>
        </w:rPr>
      </w:pPr>
    </w:p>
    <w:p w:rsidR="00BA6D81" w:rsidRDefault="00974B95" w:rsidP="00564DAF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>
        <w:rPr>
          <w:rFonts w:ascii="Arial Narrow" w:hAnsi="Arial Narrow"/>
        </w:rPr>
        <w:t>P</w:t>
      </w:r>
      <w:r w:rsidR="00564DAF">
        <w:rPr>
          <w:rFonts w:ascii="Arial Narrow" w:hAnsi="Arial Narrow"/>
        </w:rPr>
        <w:t>latí, že vlastné imanie = v</w:t>
      </w:r>
      <w:r w:rsidR="00564DAF">
        <w:rPr>
          <w:rFonts w:ascii="Arial Narrow" w:eastAsia="Times New Roman" w:hAnsi="Arial Narrow" w:cs="Times New Roman"/>
          <w:lang w:eastAsia="sk-SK"/>
        </w:rPr>
        <w:t xml:space="preserve">lastné zdroje podniku. </w:t>
      </w:r>
    </w:p>
    <w:p w:rsidR="00BA6D81" w:rsidRDefault="00BA6D81" w:rsidP="00564DAF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64DAF" w:rsidRPr="00C3653C" w:rsidRDefault="00564DAF" w:rsidP="00564DAF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C3653C">
        <w:rPr>
          <w:rFonts w:ascii="Arial Narrow" w:hAnsi="Arial Narrow"/>
          <w:b/>
          <w:u w:val="single"/>
        </w:rPr>
        <w:t>Variant BII</w:t>
      </w:r>
    </w:p>
    <w:p w:rsidR="005C79E8" w:rsidRDefault="005C79E8" w:rsidP="005C79E8">
      <w:pPr>
        <w:spacing w:after="0" w:line="240" w:lineRule="auto"/>
        <w:jc w:val="both"/>
        <w:rPr>
          <w:rFonts w:ascii="Arial Narrow" w:hAnsi="Arial Narrow"/>
        </w:rPr>
      </w:pPr>
    </w:p>
    <w:p w:rsidR="009754A6" w:rsidRDefault="00564DAF" w:rsidP="009754A6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tomto prípade dochádza k posúdeniu hodnoty rozdielu majetku a záväzkov spoločnosti a následne k posúdeniu rozdielu príjmov a výdavkov spoločnosti. Následne dochádza k porovnaniu týchto rozdielov medzi sebou a to tak za bežné ako aj bezprostredne predchádzajúce účtovné obdobie. </w:t>
      </w:r>
      <w:r w:rsidR="009754A6">
        <w:rPr>
          <w:rFonts w:ascii="Arial Narrow" w:hAnsi="Arial Narrow"/>
        </w:rPr>
        <w:t xml:space="preserve">Do </w:t>
      </w:r>
      <w:r w:rsidR="00C3653C">
        <w:rPr>
          <w:rFonts w:ascii="Arial Narrow" w:hAnsi="Arial Narrow"/>
        </w:rPr>
        <w:t>rýchleho testu identifikácie podniku v ťažkostiach</w:t>
      </w:r>
      <w:r w:rsidR="009754A6">
        <w:rPr>
          <w:rFonts w:ascii="Arial Narrow" w:hAnsi="Arial Narrow"/>
        </w:rPr>
        <w:t xml:space="preserve"> sa vypĺňajú údaje z riadkov 21 Výkazu o majetku a záväzkoch r. 201</w:t>
      </w:r>
      <w:r w:rsidR="00B077D1">
        <w:rPr>
          <w:rFonts w:ascii="Arial Narrow" w:hAnsi="Arial Narrow"/>
        </w:rPr>
        <w:t>2</w:t>
      </w:r>
      <w:r w:rsidR="009754A6">
        <w:rPr>
          <w:rFonts w:ascii="Arial Narrow" w:hAnsi="Arial Narrow"/>
        </w:rPr>
        <w:t xml:space="preserve"> a riadku 11 Výkazu o príjmoch a výdavkoch rokov 201</w:t>
      </w:r>
      <w:r w:rsidR="00B077D1">
        <w:rPr>
          <w:rFonts w:ascii="Arial Narrow" w:hAnsi="Arial Narrow"/>
        </w:rPr>
        <w:t>1</w:t>
      </w:r>
      <w:r w:rsidR="009754A6">
        <w:rPr>
          <w:rFonts w:ascii="Arial Narrow" w:hAnsi="Arial Narrow"/>
        </w:rPr>
        <w:t xml:space="preserve"> a 201</w:t>
      </w:r>
      <w:r w:rsidR="00B077D1">
        <w:rPr>
          <w:rFonts w:ascii="Arial Narrow" w:hAnsi="Arial Narrow"/>
        </w:rPr>
        <w:t>2</w:t>
      </w:r>
      <w:r w:rsidR="009754A6">
        <w:rPr>
          <w:rFonts w:ascii="Arial Narrow" w:hAnsi="Arial Narrow"/>
        </w:rPr>
        <w:t>.</w:t>
      </w:r>
    </w:p>
    <w:p w:rsidR="009754A6" w:rsidRDefault="009754A6" w:rsidP="005C79E8">
      <w:pPr>
        <w:spacing w:after="0" w:line="240" w:lineRule="auto"/>
        <w:jc w:val="both"/>
        <w:rPr>
          <w:rFonts w:ascii="Arial Narrow" w:hAnsi="Arial Narrow"/>
        </w:rPr>
      </w:pPr>
    </w:p>
    <w:p w:rsidR="009754A6" w:rsidRDefault="009754A6" w:rsidP="005C79E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Rozdiel majetku a záväzkov predstavuje na účely vyhodnotenia podniku v ťažkostiach ekvivalent vlastného imania, ktorý sa porovnáva z výsledkom hospodárenia spoločnosti t.j. rozdielom príjmov a výdavkov.</w:t>
      </w:r>
    </w:p>
    <w:p w:rsidR="00974B95" w:rsidRPr="00A50FBA" w:rsidRDefault="00974B95" w:rsidP="005C79E8">
      <w:pPr>
        <w:spacing w:after="0" w:line="240" w:lineRule="auto"/>
        <w:jc w:val="both"/>
        <w:rPr>
          <w:rFonts w:ascii="Arial Narrow" w:hAnsi="Arial Narrow"/>
          <w:b/>
        </w:rPr>
      </w:pPr>
    </w:p>
    <w:p w:rsidR="00546B23" w:rsidRPr="000C19E9" w:rsidRDefault="006B3EC5" w:rsidP="00546B23">
      <w:pPr>
        <w:pStyle w:val="NADP"/>
        <w:spacing w:line="240" w:lineRule="auto"/>
        <w:rPr>
          <w:rStyle w:val="nadpis10"/>
          <w:b/>
        </w:rPr>
      </w:pPr>
      <w:r>
        <w:rPr>
          <w:rStyle w:val="nadpis10"/>
          <w:b/>
        </w:rPr>
        <w:t>časové obdobie</w:t>
      </w:r>
      <w:r w:rsidR="008C01C4">
        <w:rPr>
          <w:rStyle w:val="nadpis10"/>
          <w:b/>
        </w:rPr>
        <w:t xml:space="preserve"> – špecifický postup identifikácie podniku v ťažkostiach</w:t>
      </w:r>
    </w:p>
    <w:p w:rsidR="003D04A8" w:rsidRDefault="003D04A8" w:rsidP="005C79E8">
      <w:pPr>
        <w:spacing w:after="0" w:line="240" w:lineRule="auto"/>
        <w:jc w:val="both"/>
        <w:rPr>
          <w:rFonts w:ascii="Arial Narrow" w:hAnsi="Arial Narrow"/>
        </w:rPr>
      </w:pPr>
    </w:p>
    <w:p w:rsidR="000C19E9" w:rsidRDefault="000C19E9" w:rsidP="006B3EC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 posudzovaní naplnenia podmienok podniku v ťažkostiach sa berie do úvahy</w:t>
      </w:r>
      <w:r w:rsidR="006B3EC5">
        <w:rPr>
          <w:rFonts w:ascii="Arial Narrow" w:hAnsi="Arial Narrow"/>
        </w:rPr>
        <w:t xml:space="preserve"> okrem údajov z účtovných a finančných výkazov potenciálnych žiadateľov</w:t>
      </w:r>
      <w:r>
        <w:rPr>
          <w:rFonts w:ascii="Arial Narrow" w:hAnsi="Arial Narrow"/>
        </w:rPr>
        <w:t xml:space="preserve"> tiež obdobie, ktoré uplynulo </w:t>
      </w:r>
    </w:p>
    <w:p w:rsidR="006B3EC5" w:rsidRDefault="006B3EC5" w:rsidP="006B3EC5">
      <w:pPr>
        <w:spacing w:after="0" w:line="240" w:lineRule="auto"/>
        <w:jc w:val="both"/>
        <w:rPr>
          <w:rFonts w:ascii="Arial Narrow" w:hAnsi="Arial Narrow"/>
        </w:rPr>
      </w:pPr>
    </w:p>
    <w:p w:rsidR="000C19E9" w:rsidRPr="00FF6EC4" w:rsidRDefault="000C19E9" w:rsidP="00767F1B">
      <w:pPr>
        <w:pStyle w:val="Odsekzoznamu"/>
        <w:numPr>
          <w:ilvl w:val="0"/>
          <w:numId w:val="11"/>
        </w:numPr>
        <w:spacing w:after="0" w:line="240" w:lineRule="auto"/>
        <w:ind w:left="709"/>
        <w:jc w:val="both"/>
        <w:rPr>
          <w:rFonts w:ascii="Arial Narrow" w:hAnsi="Arial Narrow"/>
        </w:rPr>
      </w:pPr>
      <w:r w:rsidRPr="00913A7E">
        <w:rPr>
          <w:rFonts w:ascii="Arial Narrow" w:hAnsi="Arial Narrow"/>
        </w:rPr>
        <w:t>v prípade MSP</w:t>
      </w:r>
      <w:r>
        <w:rPr>
          <w:rFonts w:ascii="Arial Narrow" w:hAnsi="Arial Narrow"/>
        </w:rPr>
        <w:t xml:space="preserve"> </w:t>
      </w:r>
      <w:r w:rsidRPr="00913A7E">
        <w:rPr>
          <w:rFonts w:ascii="Arial Narrow" w:hAnsi="Arial Narrow"/>
        </w:rPr>
        <w:t xml:space="preserve">od založenia </w:t>
      </w:r>
      <w:r>
        <w:rPr>
          <w:rFonts w:ascii="Arial Narrow" w:hAnsi="Arial Narrow"/>
        </w:rPr>
        <w:t>podniku</w:t>
      </w:r>
      <w:r w:rsidRPr="00913A7E">
        <w:rPr>
          <w:rFonts w:ascii="Arial Narrow" w:hAnsi="Arial Narrow"/>
        </w:rPr>
        <w:t xml:space="preserve"> po </w:t>
      </w:r>
      <w:r w:rsidRPr="00FF6EC4">
        <w:rPr>
          <w:rFonts w:ascii="Arial Narrow" w:hAnsi="Arial Narrow"/>
        </w:rPr>
        <w:t>okamih overovania podmienok podniku v ťažkostiach</w:t>
      </w:r>
    </w:p>
    <w:p w:rsidR="000C19E9" w:rsidRPr="00FF6EC4" w:rsidRDefault="000C19E9" w:rsidP="00767F1B">
      <w:pPr>
        <w:pStyle w:val="Odsekzoznamu"/>
        <w:numPr>
          <w:ilvl w:val="0"/>
          <w:numId w:val="11"/>
        </w:numPr>
        <w:spacing w:after="0" w:line="240" w:lineRule="auto"/>
        <w:ind w:left="709"/>
        <w:jc w:val="both"/>
        <w:rPr>
          <w:rFonts w:ascii="Arial Narrow" w:hAnsi="Arial Narrow"/>
        </w:rPr>
      </w:pPr>
      <w:r w:rsidRPr="00FF6EC4">
        <w:rPr>
          <w:rFonts w:ascii="Arial Narrow" w:hAnsi="Arial Narrow"/>
        </w:rPr>
        <w:t xml:space="preserve">v prípade veľkých podnikov od začiatku operácií podniku v príslušnej oblasti aktivít/podnikateľskej činnosti zapísanej v obchodnom, resp. živnostenskom registri, ktorých sa týka predložená žiadosť o poskytnutie NFP </w:t>
      </w:r>
      <w:r w:rsidRPr="00FF6EC4">
        <w:rPr>
          <w:rFonts w:ascii="Arial Narrow" w:hAnsi="Arial Narrow"/>
          <w:lang w:val="en-US"/>
        </w:rPr>
        <w:t>(</w:t>
      </w:r>
      <w:r w:rsidRPr="00FF6EC4">
        <w:rPr>
          <w:rFonts w:ascii="Arial Narrow" w:hAnsi="Arial Narrow"/>
        </w:rPr>
        <w:t>SK NACE uvedené v tabuľke č. 3 „Profil žiadateľa“) po okamih overovania podmienok podniku v ťažkostiach</w:t>
      </w:r>
    </w:p>
    <w:p w:rsidR="000C19E9" w:rsidRDefault="000C19E9" w:rsidP="006B3EC5">
      <w:pPr>
        <w:spacing w:after="0" w:line="240" w:lineRule="auto"/>
        <w:rPr>
          <w:rFonts w:ascii="Arial Narrow" w:hAnsi="Arial Narrow"/>
        </w:rPr>
      </w:pPr>
    </w:p>
    <w:p w:rsidR="006B3EC5" w:rsidRDefault="000C19E9" w:rsidP="006B3EC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V prípade, že uvedené obdobie je kratšie ako 3 roky, nie je z pohľadu posudzovania splnenia podmienok podniku v ťažkostiach záväzné posúdenie podľa kapitoly 2</w:t>
      </w:r>
      <w:r w:rsidR="006B3EC5">
        <w:rPr>
          <w:rFonts w:ascii="Arial Narrow" w:hAnsi="Arial Narrow"/>
        </w:rPr>
        <w:t>. Jednotlivé podniky, ktoré spĺňajúce vyššie uvedené časové obdobie však musia preukázať, že nie sú podnikmi nachádzajúcimi sa v</w:t>
      </w:r>
      <w:r w:rsidR="009C0A4F">
        <w:rPr>
          <w:rFonts w:ascii="Arial Narrow" w:hAnsi="Arial Narrow"/>
        </w:rPr>
        <w:t> </w:t>
      </w:r>
      <w:r w:rsidR="006B3EC5">
        <w:rPr>
          <w:rFonts w:ascii="Arial Narrow" w:hAnsi="Arial Narrow"/>
        </w:rPr>
        <w:t>úpadku</w:t>
      </w:r>
      <w:r w:rsidR="009C0A4F">
        <w:rPr>
          <w:rFonts w:ascii="Arial Narrow" w:hAnsi="Arial Narrow"/>
        </w:rPr>
        <w:t xml:space="preserve"> t.j. že podnik nie je platobne neschopný alebo predĺžený</w:t>
      </w:r>
      <w:r w:rsidR="006B3EC5">
        <w:rPr>
          <w:rFonts w:ascii="Arial Narrow" w:hAnsi="Arial Narrow"/>
        </w:rPr>
        <w:t>.</w:t>
      </w:r>
    </w:p>
    <w:p w:rsidR="00A216F7" w:rsidRDefault="00A216F7" w:rsidP="006B3EC5">
      <w:pPr>
        <w:spacing w:after="0" w:line="240" w:lineRule="auto"/>
        <w:jc w:val="both"/>
        <w:rPr>
          <w:rFonts w:ascii="Arial Narrow" w:hAnsi="Arial Narrow"/>
        </w:rPr>
      </w:pPr>
    </w:p>
    <w:p w:rsidR="00A216F7" w:rsidRDefault="00A216F7" w:rsidP="006B3EC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Uvedenú skutočnosť preukáže žiadateľ </w:t>
      </w:r>
      <w:r w:rsidR="00767F1B">
        <w:rPr>
          <w:rFonts w:ascii="Arial Narrow" w:hAnsi="Arial Narrow"/>
        </w:rPr>
        <w:t>nasledovnými</w:t>
      </w:r>
      <w:r>
        <w:rPr>
          <w:rFonts w:ascii="Arial Narrow" w:hAnsi="Arial Narrow"/>
        </w:rPr>
        <w:t xml:space="preserve"> spôsob</w:t>
      </w:r>
      <w:r w:rsidR="00767F1B">
        <w:rPr>
          <w:rFonts w:ascii="Arial Narrow" w:hAnsi="Arial Narrow"/>
        </w:rPr>
        <w:t>mi</w:t>
      </w:r>
      <w:r>
        <w:rPr>
          <w:rFonts w:ascii="Arial Narrow" w:hAnsi="Arial Narrow"/>
        </w:rPr>
        <w:t>:</w:t>
      </w:r>
    </w:p>
    <w:p w:rsidR="00A216F7" w:rsidRDefault="00A216F7" w:rsidP="006B3EC5">
      <w:pPr>
        <w:spacing w:after="0" w:line="240" w:lineRule="auto"/>
        <w:jc w:val="both"/>
        <w:rPr>
          <w:rFonts w:ascii="Arial Narrow" w:hAnsi="Arial Narrow"/>
        </w:rPr>
      </w:pPr>
    </w:p>
    <w:p w:rsidR="009C0A4F" w:rsidRDefault="00A216F7" w:rsidP="006B3EC5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9C0A4F">
        <w:rPr>
          <w:rFonts w:ascii="Arial Narrow" w:hAnsi="Arial Narrow"/>
        </w:rPr>
        <w:t>potvrden</w:t>
      </w:r>
      <w:r w:rsidR="009C0A4F" w:rsidRPr="009C0A4F">
        <w:rPr>
          <w:rFonts w:ascii="Arial Narrow" w:hAnsi="Arial Narrow"/>
        </w:rPr>
        <w:t>ím</w:t>
      </w:r>
      <w:r w:rsidRPr="009C0A4F">
        <w:rPr>
          <w:rFonts w:ascii="Arial Narrow" w:hAnsi="Arial Narrow"/>
        </w:rPr>
        <w:t xml:space="preserve"> príslušného súdu</w:t>
      </w:r>
      <w:r w:rsidR="009C0A4F" w:rsidRPr="009C0A4F">
        <w:rPr>
          <w:rFonts w:ascii="Arial Narrow" w:hAnsi="Arial Narrow"/>
        </w:rPr>
        <w:t>, ktorým deklaruje, že nie je  platobne  neschopný  alebo  predlžený a nebol podaný návrh na povolenie reštrukturalizácie ale</w:t>
      </w:r>
      <w:r w:rsidR="009C0A4F">
        <w:rPr>
          <w:rFonts w:ascii="Arial Narrow" w:hAnsi="Arial Narrow"/>
        </w:rPr>
        <w:t>bo návrh na vyhlásenie konkurzu</w:t>
      </w:r>
      <w:r w:rsidR="00767F1B">
        <w:rPr>
          <w:rFonts w:ascii="Arial Narrow" w:hAnsi="Arial Narrow"/>
        </w:rPr>
        <w:t xml:space="preserve"> </w:t>
      </w:r>
      <w:r w:rsidR="00767F1B">
        <w:rPr>
          <w:rFonts w:ascii="Arial Narrow" w:hAnsi="Arial Narrow"/>
          <w:lang w:val="en-US"/>
        </w:rPr>
        <w:t>(</w:t>
      </w:r>
      <w:r w:rsidR="00767F1B">
        <w:rPr>
          <w:rFonts w:ascii="Arial Narrow" w:hAnsi="Arial Narrow"/>
        </w:rPr>
        <w:t>uvedené potvrdenie, predkladá žiadateľ v príslušnej fáze konania o žiadosti podľa informácií uvedených v príručke pre žiadateľa</w:t>
      </w:r>
      <w:r w:rsidR="00767F1B">
        <w:rPr>
          <w:rFonts w:ascii="Arial Narrow" w:hAnsi="Arial Narrow"/>
          <w:lang w:val="en-US"/>
        </w:rPr>
        <w:t>)</w:t>
      </w:r>
    </w:p>
    <w:p w:rsidR="000C19E9" w:rsidRPr="002B62F8" w:rsidRDefault="00767F1B" w:rsidP="002B62F8">
      <w:pPr>
        <w:pStyle w:val="Odsekzoznamu"/>
        <w:numPr>
          <w:ilvl w:val="0"/>
          <w:numId w:val="19"/>
        </w:numPr>
        <w:spacing w:after="0" w:line="240" w:lineRule="auto"/>
        <w:ind w:left="709"/>
        <w:jc w:val="both"/>
        <w:rPr>
          <w:rFonts w:ascii="Arial Narrow" w:hAnsi="Arial Narrow"/>
        </w:rPr>
      </w:pPr>
      <w:r w:rsidRPr="002B62F8">
        <w:rPr>
          <w:rFonts w:ascii="Arial Narrow" w:hAnsi="Arial Narrow"/>
        </w:rPr>
        <w:t>ďalšími účtovnými, resp. finančnými výkazmi, ktoré je</w:t>
      </w:r>
      <w:r w:rsidR="008C01C4">
        <w:rPr>
          <w:rFonts w:ascii="Arial Narrow" w:hAnsi="Arial Narrow"/>
        </w:rPr>
        <w:t xml:space="preserve"> na</w:t>
      </w:r>
      <w:r w:rsidRPr="002B62F8">
        <w:rPr>
          <w:rFonts w:ascii="Arial Narrow" w:hAnsi="Arial Narrow"/>
        </w:rPr>
        <w:t xml:space="preserve"> tieto účely oprávnený dožiadať poskytovateľ/vykonávateľ (poskytovateľ/vykonávateľ vyžiada tieto dokumenty v príslušnej fáze konania o</w:t>
      </w:r>
      <w:r w:rsidR="002B62F8" w:rsidRPr="002B62F8">
        <w:rPr>
          <w:rFonts w:ascii="Arial Narrow" w:hAnsi="Arial Narrow"/>
        </w:rPr>
        <w:t> žiadosti podľa informácií uvedených v príručke pre žiadateľa</w:t>
      </w:r>
      <w:r w:rsidRPr="002B62F8">
        <w:rPr>
          <w:rFonts w:ascii="Arial Narrow" w:hAnsi="Arial Narrow"/>
        </w:rPr>
        <w:t>)</w:t>
      </w:r>
      <w:r w:rsidR="002B62F8" w:rsidRPr="002B62F8">
        <w:rPr>
          <w:rFonts w:ascii="Arial Narrow" w:hAnsi="Arial Narrow"/>
        </w:rPr>
        <w:t>.</w:t>
      </w:r>
      <w:r w:rsidR="002B62F8">
        <w:rPr>
          <w:rFonts w:ascii="Arial Narrow" w:hAnsi="Arial Narrow"/>
        </w:rPr>
        <w:t xml:space="preserve"> Na základe predložených dokumentov sa bude posudzovať zákonom č. 7/2005 Z.</w:t>
      </w:r>
      <w:r w:rsidR="000E5804">
        <w:rPr>
          <w:rFonts w:ascii="Arial Narrow" w:hAnsi="Arial Narrow"/>
        </w:rPr>
        <w:t xml:space="preserve"> </w:t>
      </w:r>
      <w:r w:rsidR="002B62F8">
        <w:rPr>
          <w:rFonts w:ascii="Arial Narrow" w:hAnsi="Arial Narrow"/>
        </w:rPr>
        <w:t xml:space="preserve">z. stanovená </w:t>
      </w:r>
      <w:r w:rsidR="002B62F8">
        <w:rPr>
          <w:rFonts w:ascii="Arial Narrow" w:eastAsia="Calibri" w:hAnsi="Arial Narrow" w:cs="Times New Roman"/>
        </w:rPr>
        <w:t xml:space="preserve">definícia predĺženého podniku, ktorá znie: </w:t>
      </w:r>
      <w:r w:rsidR="000C19E9" w:rsidRPr="002B62F8">
        <w:rPr>
          <w:rFonts w:ascii="Arial Narrow" w:eastAsia="Calibri" w:hAnsi="Arial Narrow" w:cs="Times New Roman"/>
        </w:rPr>
        <w:t>„</w:t>
      </w:r>
      <w:r w:rsidR="000C19E9" w:rsidRPr="002B62F8">
        <w:rPr>
          <w:rFonts w:ascii="Arial Narrow" w:eastAsia="Calibri" w:hAnsi="Arial Narrow" w:cs="Times New Roman"/>
          <w:i/>
        </w:rPr>
        <w:t>predlžený je ten, kto je povinný viesť účtovníctvo podľa osobitného predpisu, má viac ako jedného veriteľa a hodnota jeho splatných záväzkov presahuje hodnotu jeho majetku“</w:t>
      </w:r>
      <w:r w:rsidR="000C19E9" w:rsidRPr="002B62F8">
        <w:rPr>
          <w:rFonts w:ascii="Arial Narrow" w:eastAsia="Calibri" w:hAnsi="Arial Narrow" w:cs="Times New Roman"/>
        </w:rPr>
        <w:t>.</w:t>
      </w:r>
      <w:r w:rsidR="000C19E9" w:rsidRPr="002B62F8">
        <w:rPr>
          <w:rFonts w:ascii="Arial Narrow" w:hAnsi="Arial Narrow"/>
        </w:rPr>
        <w:t xml:space="preserve"> </w:t>
      </w:r>
      <w:r w:rsidR="000C19E9" w:rsidRPr="002B62F8">
        <w:rPr>
          <w:rFonts w:ascii="Arial Narrow" w:eastAsia="Calibri" w:hAnsi="Arial Narrow" w:cs="Times New Roman"/>
        </w:rPr>
        <w:t>Nevyhnutným podkladom na zistenie prípadného predĺženia je poznanie výšky splatných záväzkov voči celkovej výške záväzkov vykázaných v účtovnej závierke</w:t>
      </w:r>
      <w:r w:rsidR="002B62F8">
        <w:rPr>
          <w:rFonts w:ascii="Arial Narrow" w:hAnsi="Arial Narrow"/>
        </w:rPr>
        <w:t>.</w:t>
      </w:r>
    </w:p>
    <w:p w:rsidR="000C19E9" w:rsidRDefault="000C19E9" w:rsidP="006B3EC5">
      <w:pPr>
        <w:spacing w:after="0" w:line="240" w:lineRule="auto"/>
        <w:jc w:val="both"/>
        <w:rPr>
          <w:rFonts w:ascii="Arial Narrow" w:hAnsi="Arial Narrow"/>
        </w:rPr>
      </w:pPr>
    </w:p>
    <w:p w:rsidR="000C19E9" w:rsidRDefault="000C19E9" w:rsidP="007C4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after="0" w:line="240" w:lineRule="auto"/>
        <w:jc w:val="both"/>
        <w:rPr>
          <w:rFonts w:ascii="Arial Narrow" w:hAnsi="Arial Narrow"/>
        </w:rPr>
      </w:pPr>
      <w:r w:rsidRPr="006B3EC5">
        <w:rPr>
          <w:rFonts w:ascii="Arial Narrow" w:hAnsi="Arial Narrow"/>
          <w:b/>
          <w:sz w:val="24"/>
          <w:szCs w:val="24"/>
        </w:rPr>
        <w:t xml:space="preserve">Napriek </w:t>
      </w:r>
      <w:r w:rsidR="006B3EC5" w:rsidRPr="006B3EC5">
        <w:rPr>
          <w:rFonts w:ascii="Arial Narrow" w:hAnsi="Arial Narrow"/>
          <w:b/>
          <w:sz w:val="24"/>
          <w:szCs w:val="24"/>
        </w:rPr>
        <w:t>skutočnosti</w:t>
      </w:r>
      <w:r w:rsidR="006B3EC5">
        <w:rPr>
          <w:rFonts w:ascii="Arial Narrow" w:hAnsi="Arial Narrow"/>
          <w:b/>
          <w:sz w:val="24"/>
          <w:szCs w:val="24"/>
        </w:rPr>
        <w:t xml:space="preserve">, že pre podniky spĺňajúce časové obdobie uvedené v tejto kapitole </w:t>
      </w:r>
      <w:r w:rsidR="00A216F7">
        <w:rPr>
          <w:rFonts w:ascii="Arial Narrow" w:hAnsi="Arial Narrow"/>
          <w:b/>
          <w:sz w:val="24"/>
          <w:szCs w:val="24"/>
        </w:rPr>
        <w:t>nie</w:t>
      </w:r>
      <w:r w:rsidR="007C4F04">
        <w:rPr>
          <w:rFonts w:ascii="Arial Narrow" w:hAnsi="Arial Narrow"/>
          <w:b/>
          <w:sz w:val="24"/>
          <w:szCs w:val="24"/>
        </w:rPr>
        <w:t xml:space="preserve"> je</w:t>
      </w:r>
      <w:r w:rsidR="00A216F7">
        <w:rPr>
          <w:rFonts w:ascii="Arial Narrow" w:hAnsi="Arial Narrow"/>
          <w:b/>
          <w:sz w:val="24"/>
          <w:szCs w:val="24"/>
        </w:rPr>
        <w:t xml:space="preserve"> z pohľadu definície naplnenia podmienok podniku v ťažkostiach záväzný postup podľa kapitoly 2, </w:t>
      </w:r>
      <w:r w:rsidRPr="006B3EC5">
        <w:rPr>
          <w:rFonts w:ascii="Arial Narrow" w:hAnsi="Arial Narrow"/>
          <w:b/>
          <w:sz w:val="24"/>
          <w:szCs w:val="24"/>
        </w:rPr>
        <w:t>odporúčame potenciálnemu žiadateľovi vykonať rýchly test identifikácie  podniku v</w:t>
      </w:r>
      <w:r w:rsidR="00A216F7">
        <w:rPr>
          <w:rFonts w:ascii="Arial Narrow" w:hAnsi="Arial Narrow"/>
          <w:b/>
          <w:sz w:val="24"/>
          <w:szCs w:val="24"/>
        </w:rPr>
        <w:t> </w:t>
      </w:r>
      <w:r w:rsidRPr="006B3EC5">
        <w:rPr>
          <w:rFonts w:ascii="Arial Narrow" w:hAnsi="Arial Narrow"/>
          <w:b/>
          <w:sz w:val="24"/>
          <w:szCs w:val="24"/>
        </w:rPr>
        <w:t>ťažkostiach</w:t>
      </w:r>
      <w:r w:rsidR="00A216F7">
        <w:rPr>
          <w:rFonts w:ascii="Arial Narrow" w:hAnsi="Arial Narrow"/>
          <w:b/>
          <w:sz w:val="24"/>
          <w:szCs w:val="24"/>
        </w:rPr>
        <w:t xml:space="preserve"> podľa kapitoly 2</w:t>
      </w:r>
      <w:r w:rsidRPr="006B3EC5">
        <w:rPr>
          <w:rFonts w:ascii="Arial Narrow" w:hAnsi="Arial Narrow"/>
          <w:b/>
          <w:sz w:val="24"/>
          <w:szCs w:val="24"/>
        </w:rPr>
        <w:t xml:space="preserve">, nakoľko ak bude podľa výpočtu podnik v poriadku, je vysoký predpoklad, že nebude ani napĺňať definíciu podniku v úpadku/predĺženého podniku podľa </w:t>
      </w:r>
      <w:r w:rsidR="00A50FBA">
        <w:rPr>
          <w:rFonts w:ascii="Arial Narrow" w:hAnsi="Arial Narrow"/>
          <w:b/>
          <w:sz w:val="24"/>
          <w:szCs w:val="24"/>
        </w:rPr>
        <w:t xml:space="preserve">kapitoly </w:t>
      </w:r>
      <w:r w:rsidR="007C4F04">
        <w:rPr>
          <w:rFonts w:ascii="Arial Narrow" w:hAnsi="Arial Narrow"/>
          <w:b/>
          <w:sz w:val="24"/>
          <w:szCs w:val="24"/>
        </w:rPr>
        <w:t>3</w:t>
      </w:r>
      <w:r w:rsidRPr="006B3EC5">
        <w:rPr>
          <w:rFonts w:ascii="Arial Narrow" w:hAnsi="Arial Narrow"/>
          <w:b/>
          <w:sz w:val="24"/>
          <w:szCs w:val="24"/>
        </w:rPr>
        <w:t>, nakoľko definícia</w:t>
      </w:r>
      <w:r w:rsidR="007C4F04">
        <w:rPr>
          <w:rFonts w:ascii="Arial Narrow" w:hAnsi="Arial Narrow"/>
          <w:b/>
          <w:sz w:val="24"/>
          <w:szCs w:val="24"/>
        </w:rPr>
        <w:t xml:space="preserve"> podľa kapitoly 2 </w:t>
      </w:r>
      <w:r w:rsidRPr="006B3EC5">
        <w:rPr>
          <w:rFonts w:ascii="Arial Narrow" w:hAnsi="Arial Narrow"/>
          <w:b/>
          <w:sz w:val="24"/>
          <w:szCs w:val="24"/>
        </w:rPr>
        <w:t xml:space="preserve">je prísnejšia ako posudzovanie podmienok podľa kapitoly </w:t>
      </w:r>
      <w:r w:rsidR="007C4F04">
        <w:rPr>
          <w:rFonts w:ascii="Arial Narrow" w:hAnsi="Arial Narrow"/>
          <w:b/>
          <w:sz w:val="24"/>
          <w:szCs w:val="24"/>
        </w:rPr>
        <w:t>3.</w:t>
      </w:r>
    </w:p>
    <w:p w:rsidR="00E67D44" w:rsidRDefault="00E67D44" w:rsidP="00E67D44">
      <w:pPr>
        <w:pStyle w:val="NADP"/>
        <w:numPr>
          <w:ilvl w:val="0"/>
          <w:numId w:val="0"/>
        </w:numPr>
        <w:spacing w:line="240" w:lineRule="auto"/>
        <w:ind w:left="680"/>
        <w:rPr>
          <w:rStyle w:val="nadpis10"/>
          <w:b/>
        </w:rPr>
      </w:pPr>
    </w:p>
    <w:p w:rsidR="00057241" w:rsidRPr="00A216F7" w:rsidRDefault="008C2315" w:rsidP="00A216F7">
      <w:pPr>
        <w:pStyle w:val="NADP"/>
        <w:spacing w:line="240" w:lineRule="auto"/>
        <w:rPr>
          <w:rStyle w:val="nadpis10"/>
          <w:b/>
        </w:rPr>
      </w:pPr>
      <w:r w:rsidRPr="00A216F7">
        <w:rPr>
          <w:rStyle w:val="nadpis10"/>
          <w:b/>
        </w:rPr>
        <w:t>Ďalšie znaky podniku v ťažkostiach</w:t>
      </w:r>
    </w:p>
    <w:p w:rsidR="008C2315" w:rsidRPr="008C2315" w:rsidRDefault="008C2315" w:rsidP="008C2315">
      <w:pPr>
        <w:pStyle w:val="ODS"/>
        <w:numPr>
          <w:ilvl w:val="0"/>
          <w:numId w:val="0"/>
        </w:numPr>
        <w:spacing w:line="240" w:lineRule="auto"/>
        <w:rPr>
          <w:rStyle w:val="nadpis10"/>
          <w:b w:val="0"/>
        </w:rPr>
      </w:pPr>
    </w:p>
    <w:p w:rsidR="00720E72" w:rsidRPr="00BA6D81" w:rsidRDefault="00720E72" w:rsidP="00782CC8">
      <w:pPr>
        <w:spacing w:after="0" w:line="240" w:lineRule="auto"/>
        <w:jc w:val="both"/>
        <w:rPr>
          <w:rFonts w:ascii="Arial Narrow" w:hAnsi="Arial Narrow"/>
        </w:rPr>
      </w:pPr>
      <w:r w:rsidRPr="00BA6D81">
        <w:rPr>
          <w:rFonts w:ascii="Arial Narrow" w:hAnsi="Arial Narrow"/>
        </w:rPr>
        <w:t xml:space="preserve">Aj keď sa nevyskytuje žiadna z okolností uvedených </w:t>
      </w:r>
      <w:r w:rsidR="009754A6" w:rsidRPr="00BA6D81">
        <w:rPr>
          <w:rFonts w:ascii="Arial Narrow" w:hAnsi="Arial Narrow"/>
        </w:rPr>
        <w:t>v predchádzajúcich kapitolách</w:t>
      </w:r>
      <w:r w:rsidRPr="00BA6D81">
        <w:rPr>
          <w:rFonts w:ascii="Arial Narrow" w:hAnsi="Arial Narrow"/>
        </w:rPr>
        <w:t>, firma sa m</w:t>
      </w:r>
      <w:r w:rsidR="00782CC8" w:rsidRPr="00BA6D81">
        <w:rPr>
          <w:rFonts w:ascii="Arial Narrow" w:hAnsi="Arial Narrow"/>
        </w:rPr>
        <w:t>ôže stále považovať za nachádza</w:t>
      </w:r>
      <w:r w:rsidRPr="00BA6D81">
        <w:rPr>
          <w:rFonts w:ascii="Arial Narrow" w:hAnsi="Arial Narrow"/>
        </w:rPr>
        <w:t xml:space="preserve">júcu sa v ťažkostiach predovšetkým v prípadoch, keď sa prejavuje obvyklými príznakmi </w:t>
      </w:r>
      <w:r w:rsidR="007668A1">
        <w:rPr>
          <w:rFonts w:ascii="Arial Narrow" w:hAnsi="Arial Narrow"/>
        </w:rPr>
        <w:t>podniku</w:t>
      </w:r>
      <w:r w:rsidRPr="00BA6D81">
        <w:rPr>
          <w:rFonts w:ascii="Arial Narrow" w:hAnsi="Arial Narrow"/>
        </w:rPr>
        <w:t xml:space="preserve"> v ťažkostiach, ako</w:t>
      </w:r>
      <w:r w:rsidR="00782CC8" w:rsidRPr="00BA6D81">
        <w:rPr>
          <w:rFonts w:ascii="Arial Narrow" w:hAnsi="Arial Narrow"/>
        </w:rPr>
        <w:t xml:space="preserve"> </w:t>
      </w:r>
      <w:r w:rsidRPr="00BA6D81">
        <w:rPr>
          <w:rFonts w:ascii="Arial Narrow" w:hAnsi="Arial Narrow"/>
        </w:rPr>
        <w:t>sú rastúce straty, klesajúci obrat, rastúce skladové zásoby, nadmerná kapacita, pokles peňažného toku, rastúce dlhy, stúpajúce úrokové poplatky a klesajúca alebo nulová čistá hodnota aktív.</w:t>
      </w:r>
    </w:p>
    <w:p w:rsidR="00057241" w:rsidRPr="00693C44" w:rsidRDefault="00782CC8" w:rsidP="00782CC8">
      <w:pPr>
        <w:spacing w:after="0" w:line="240" w:lineRule="auto"/>
        <w:jc w:val="both"/>
        <w:rPr>
          <w:rFonts w:ascii="Arial Narrow" w:hAnsi="Arial Narrow"/>
        </w:rPr>
      </w:pPr>
      <w:r w:rsidRPr="00BA6D81">
        <w:rPr>
          <w:rFonts w:ascii="Arial Narrow" w:hAnsi="Arial Narrow"/>
        </w:rPr>
        <w:t xml:space="preserve">V akútnych prípadoch sa firma už mohla stať insolventnou alebo môže byť predmetom konania vo veci </w:t>
      </w:r>
      <w:r w:rsidRPr="00693C44">
        <w:rPr>
          <w:rFonts w:ascii="Arial Narrow" w:hAnsi="Arial Narrow"/>
        </w:rPr>
        <w:t xml:space="preserve">kolektívnej insolventnosti, ktoré sa začalo v </w:t>
      </w:r>
      <w:r w:rsidR="00693C44" w:rsidRPr="00693C44">
        <w:rPr>
          <w:rFonts w:ascii="Arial Narrow" w:hAnsi="Arial Narrow"/>
        </w:rPr>
        <w:t>súlade s domácim zákonodarstvom, pričom príslušný orgán (</w:t>
      </w:r>
      <w:r w:rsidR="00693C44">
        <w:rPr>
          <w:rFonts w:ascii="Arial Narrow" w:hAnsi="Arial Narrow"/>
        </w:rPr>
        <w:t>najmä príslušný</w:t>
      </w:r>
      <w:r w:rsidR="00693C44" w:rsidRPr="00693C44">
        <w:rPr>
          <w:rFonts w:ascii="Arial Narrow" w:hAnsi="Arial Narrow"/>
        </w:rPr>
        <w:t xml:space="preserve"> súd)  ešte nemusel rozhodnúť (napr. povolenie na vyhlásenie konkurzu, resp. povolenie reštrukturalizácie).</w:t>
      </w:r>
    </w:p>
    <w:p w:rsidR="00BA6D81" w:rsidRDefault="00BA6D81" w:rsidP="00782CC8">
      <w:pPr>
        <w:spacing w:after="0" w:line="240" w:lineRule="auto"/>
        <w:jc w:val="both"/>
        <w:rPr>
          <w:rFonts w:ascii="Arial Narrow" w:hAnsi="Arial Narrow"/>
        </w:rPr>
      </w:pPr>
      <w:r w:rsidRPr="00693C44">
        <w:rPr>
          <w:rFonts w:ascii="Arial Narrow" w:hAnsi="Arial Narrow"/>
        </w:rPr>
        <w:t>V prípade pochybností je poskytovateľ/vykonávateľ oprávnený v rámci príslušného procesu konania o</w:t>
      </w:r>
      <w:r w:rsidR="00D06E93" w:rsidRPr="00693C44">
        <w:rPr>
          <w:rFonts w:ascii="Arial Narrow" w:hAnsi="Arial Narrow"/>
        </w:rPr>
        <w:t> </w:t>
      </w:r>
      <w:r w:rsidRPr="00693C44">
        <w:rPr>
          <w:rFonts w:ascii="Arial Narrow" w:hAnsi="Arial Narrow"/>
        </w:rPr>
        <w:t>žiadosti</w:t>
      </w:r>
      <w:r w:rsidR="00D06E93" w:rsidRPr="00693C44">
        <w:rPr>
          <w:rFonts w:ascii="Arial Narrow" w:hAnsi="Arial Narrow"/>
        </w:rPr>
        <w:t xml:space="preserve"> o nenávratný finančný príspevok</w:t>
      </w:r>
      <w:r>
        <w:rPr>
          <w:rFonts w:ascii="Arial Narrow" w:hAnsi="Arial Narrow"/>
        </w:rPr>
        <w:t xml:space="preserve"> vyžadovať predloženie potrebnej účtovnej </w:t>
      </w:r>
      <w:r w:rsidR="007668A1">
        <w:rPr>
          <w:rFonts w:ascii="Arial Narrow" w:hAnsi="Arial Narrow"/>
        </w:rPr>
        <w:t xml:space="preserve">a ďalšej podpornej </w:t>
      </w:r>
      <w:r>
        <w:rPr>
          <w:rFonts w:ascii="Arial Narrow" w:hAnsi="Arial Narrow"/>
        </w:rPr>
        <w:t>dokumentácie k overeniu podniku v ťažkostiach.</w:t>
      </w:r>
    </w:p>
    <w:p w:rsidR="00A50FBA" w:rsidRDefault="00A50FBA" w:rsidP="00782CC8">
      <w:pPr>
        <w:spacing w:after="0" w:line="240" w:lineRule="auto"/>
        <w:jc w:val="both"/>
        <w:rPr>
          <w:rFonts w:ascii="Arial Narrow" w:hAnsi="Arial Narrow"/>
        </w:rPr>
      </w:pPr>
    </w:p>
    <w:p w:rsidR="00BA6D81" w:rsidRDefault="00BA6D81" w:rsidP="00BA6D81">
      <w:pPr>
        <w:pStyle w:val="NADP"/>
        <w:rPr>
          <w:rStyle w:val="nadpis10"/>
          <w:b/>
        </w:rPr>
      </w:pPr>
      <w:r>
        <w:rPr>
          <w:rStyle w:val="nadpis10"/>
          <w:b/>
        </w:rPr>
        <w:t>záverečné ustanovenia</w:t>
      </w:r>
    </w:p>
    <w:p w:rsidR="00BA6D81" w:rsidRPr="00BA6D81" w:rsidRDefault="00BA6D81" w:rsidP="00BA6D81">
      <w:pPr>
        <w:spacing w:after="0" w:line="240" w:lineRule="auto"/>
        <w:jc w:val="both"/>
        <w:rPr>
          <w:rFonts w:ascii="Arial Narrow" w:hAnsi="Arial Narrow"/>
        </w:rPr>
      </w:pPr>
      <w:r w:rsidRPr="00BA6D81">
        <w:rPr>
          <w:rFonts w:ascii="Arial Narrow" w:hAnsi="Arial Narrow"/>
        </w:rPr>
        <w:t>Rýchl</w:t>
      </w:r>
      <w:r w:rsidR="00D06E93">
        <w:rPr>
          <w:rFonts w:ascii="Arial Narrow" w:hAnsi="Arial Narrow"/>
        </w:rPr>
        <w:t>y</w:t>
      </w:r>
      <w:r w:rsidRPr="00BA6D81">
        <w:rPr>
          <w:rFonts w:ascii="Arial Narrow" w:hAnsi="Arial Narrow"/>
        </w:rPr>
        <w:t xml:space="preserve"> test identifikácie podniku v</w:t>
      </w:r>
      <w:r w:rsidR="00693C44">
        <w:rPr>
          <w:rFonts w:ascii="Arial Narrow" w:hAnsi="Arial Narrow"/>
        </w:rPr>
        <w:t> </w:t>
      </w:r>
      <w:r w:rsidRPr="00BA6D81">
        <w:rPr>
          <w:rFonts w:ascii="Arial Narrow" w:hAnsi="Arial Narrow"/>
        </w:rPr>
        <w:t>ťažkostiach</w:t>
      </w:r>
      <w:r w:rsidR="00693C44">
        <w:rPr>
          <w:rFonts w:ascii="Arial Narrow" w:hAnsi="Arial Narrow"/>
        </w:rPr>
        <w:t xml:space="preserve"> ako aj táto inštrukcia</w:t>
      </w:r>
      <w:r w:rsidRPr="00BA6D81">
        <w:rPr>
          <w:rFonts w:ascii="Arial Narrow" w:hAnsi="Arial Narrow"/>
        </w:rPr>
        <w:t xml:space="preserve"> </w:t>
      </w:r>
      <w:r w:rsidR="00693C44">
        <w:rPr>
          <w:rFonts w:ascii="Arial Narrow" w:hAnsi="Arial Narrow"/>
        </w:rPr>
        <w:t>predstavuje</w:t>
      </w:r>
      <w:r w:rsidRPr="00BA6D81">
        <w:rPr>
          <w:rFonts w:ascii="Arial Narrow" w:hAnsi="Arial Narrow"/>
        </w:rPr>
        <w:t xml:space="preserve"> orientačný nástroj slúžiaci potenciálnemu žiadateľovi pre vlastné zhodnotenie situácie spoločnosti z pohľadu definovania podniku v ťažkostiach a</w:t>
      </w:r>
      <w:r w:rsidR="00693C44">
        <w:rPr>
          <w:rFonts w:ascii="Arial Narrow" w:hAnsi="Arial Narrow"/>
        </w:rPr>
        <w:t> </w:t>
      </w:r>
      <w:r w:rsidRPr="00BA6D81">
        <w:rPr>
          <w:rFonts w:ascii="Arial Narrow" w:hAnsi="Arial Narrow"/>
        </w:rPr>
        <w:t>splnenia podmienky poskytnutia pomoci. Poskytovateľ/vykonávateľ v zmysle vyššie uvedených princípov vykon</w:t>
      </w:r>
      <w:r w:rsidR="00D06E93">
        <w:rPr>
          <w:rFonts w:ascii="Arial Narrow" w:hAnsi="Arial Narrow"/>
        </w:rPr>
        <w:t>áva</w:t>
      </w:r>
      <w:r w:rsidRPr="00BA6D81">
        <w:rPr>
          <w:rFonts w:ascii="Arial Narrow" w:hAnsi="Arial Narrow"/>
        </w:rPr>
        <w:t xml:space="preserve"> hodnotenie podniku v ťažkostiach, pričom </w:t>
      </w:r>
      <w:r w:rsidR="00D06E93">
        <w:rPr>
          <w:rFonts w:ascii="Arial Narrow" w:hAnsi="Arial Narrow"/>
        </w:rPr>
        <w:t>je</w:t>
      </w:r>
      <w:r w:rsidR="00D06E93" w:rsidRPr="00BA6D81">
        <w:rPr>
          <w:rFonts w:ascii="Arial Narrow" w:hAnsi="Arial Narrow"/>
        </w:rPr>
        <w:t xml:space="preserve"> </w:t>
      </w:r>
      <w:r w:rsidRPr="00BA6D81">
        <w:rPr>
          <w:rFonts w:ascii="Arial Narrow" w:hAnsi="Arial Narrow"/>
        </w:rPr>
        <w:t>oprávnený dožiadať o</w:t>
      </w:r>
      <w:r w:rsidR="00B077D1">
        <w:rPr>
          <w:rFonts w:ascii="Arial Narrow" w:hAnsi="Arial Narrow"/>
        </w:rPr>
        <w:t>d</w:t>
      </w:r>
      <w:r w:rsidRPr="00BA6D81">
        <w:rPr>
          <w:rFonts w:ascii="Arial Narrow" w:hAnsi="Arial Narrow"/>
        </w:rPr>
        <w:t> žiadateľa príslušnú účtovnú dokumentáciu nad rámec povinných príloh uvedených v príslušnej výzve na predkladanie žiadostí o NFP.</w:t>
      </w:r>
    </w:p>
    <w:p w:rsidR="00BA6D81" w:rsidRPr="00BA6D81" w:rsidRDefault="00BA6D81" w:rsidP="00BA6D81">
      <w:pPr>
        <w:spacing w:after="0" w:line="240" w:lineRule="auto"/>
        <w:jc w:val="both"/>
        <w:rPr>
          <w:rFonts w:ascii="Arial Narrow" w:hAnsi="Arial Narrow"/>
          <w:bCs/>
        </w:rPr>
      </w:pPr>
      <w:r w:rsidRPr="00BA6D81">
        <w:rPr>
          <w:rFonts w:ascii="Arial Narrow" w:hAnsi="Arial Narrow"/>
        </w:rPr>
        <w:t>Rýchly test identifikácie podniku  v ťažkostiach v žiadnom prípade nenahrádza posúdenie podniku v ťažkostiach, ktoré bude vykonávať poskytovateľ/vykonávateľ počas konania o</w:t>
      </w:r>
      <w:r w:rsidR="00D06E93">
        <w:rPr>
          <w:rFonts w:ascii="Arial Narrow" w:hAnsi="Arial Narrow"/>
        </w:rPr>
        <w:t> </w:t>
      </w:r>
      <w:r>
        <w:rPr>
          <w:rFonts w:ascii="Arial Narrow" w:hAnsi="Arial Narrow"/>
        </w:rPr>
        <w:t>žiadosti</w:t>
      </w:r>
      <w:r w:rsidR="00D06E9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 žiadateľovi z aplikácie rýchleho testu identifikácie podniku v ťažkostiach nevznikajú žiadne práva.</w:t>
      </w:r>
    </w:p>
    <w:p w:rsidR="009754A6" w:rsidRDefault="009754A6" w:rsidP="009754A6">
      <w:pPr>
        <w:pStyle w:val="NADP"/>
        <w:rPr>
          <w:rStyle w:val="nadpis10"/>
          <w:b/>
        </w:rPr>
      </w:pPr>
      <w:r>
        <w:rPr>
          <w:rStyle w:val="nadpis10"/>
          <w:b/>
        </w:rPr>
        <w:lastRenderedPageBreak/>
        <w:t>Prílohy</w:t>
      </w:r>
    </w:p>
    <w:p w:rsidR="009754A6" w:rsidRPr="009754A6" w:rsidRDefault="009754A6" w:rsidP="009754A6">
      <w:pPr>
        <w:pStyle w:val="NADP"/>
        <w:numPr>
          <w:ilvl w:val="0"/>
          <w:numId w:val="0"/>
        </w:numPr>
        <w:ind w:left="680"/>
        <w:rPr>
          <w:rStyle w:val="nadpis10"/>
        </w:rPr>
      </w:pPr>
      <w:r w:rsidRPr="009754A6">
        <w:rPr>
          <w:rStyle w:val="nadpis10"/>
        </w:rPr>
        <w:t>Príloha č. 1 - Podnik v ťažko</w:t>
      </w:r>
      <w:r w:rsidR="00546B23">
        <w:rPr>
          <w:rStyle w:val="nadpis10"/>
        </w:rPr>
        <w:t>s</w:t>
      </w:r>
      <w:r w:rsidRPr="009754A6">
        <w:rPr>
          <w:rStyle w:val="nadpis10"/>
        </w:rPr>
        <w:t xml:space="preserve">tiach </w:t>
      </w:r>
      <w:r w:rsidR="00BA6D81">
        <w:rPr>
          <w:rStyle w:val="nadpis10"/>
        </w:rPr>
        <w:t>–</w:t>
      </w:r>
      <w:r w:rsidRPr="009754A6">
        <w:rPr>
          <w:rStyle w:val="nadpis10"/>
        </w:rPr>
        <w:t xml:space="preserve"> TEST</w:t>
      </w:r>
      <w:r w:rsidR="00BA6D81">
        <w:rPr>
          <w:rStyle w:val="nadpis10"/>
        </w:rPr>
        <w:t xml:space="preserve"> </w:t>
      </w:r>
    </w:p>
    <w:p w:rsidR="009754A6" w:rsidRPr="009339FB" w:rsidRDefault="009754A6" w:rsidP="009754A6">
      <w:pPr>
        <w:spacing w:after="0" w:line="240" w:lineRule="auto"/>
        <w:jc w:val="both"/>
        <w:rPr>
          <w:rFonts w:ascii="Arial Narrow" w:hAnsi="Arial Narrow"/>
          <w:highlight w:val="yellow"/>
        </w:rPr>
      </w:pPr>
    </w:p>
    <w:sectPr w:rsidR="009754A6" w:rsidRPr="009339FB" w:rsidSect="0045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D8" w:rsidRDefault="00BF72D8" w:rsidP="00F725D4">
      <w:pPr>
        <w:spacing w:after="0" w:line="240" w:lineRule="auto"/>
      </w:pPr>
      <w:r>
        <w:separator/>
      </w:r>
    </w:p>
  </w:endnote>
  <w:endnote w:type="continuationSeparator" w:id="0">
    <w:p w:rsidR="00BF72D8" w:rsidRDefault="00BF72D8" w:rsidP="00F7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D8" w:rsidRDefault="00BF72D8" w:rsidP="00F725D4">
      <w:pPr>
        <w:spacing w:after="0" w:line="240" w:lineRule="auto"/>
      </w:pPr>
      <w:r>
        <w:separator/>
      </w:r>
    </w:p>
  </w:footnote>
  <w:footnote w:type="continuationSeparator" w:id="0">
    <w:p w:rsidR="00BF72D8" w:rsidRDefault="00BF72D8" w:rsidP="00F72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3FD"/>
    <w:multiLevelType w:val="hybridMultilevel"/>
    <w:tmpl w:val="F1EA2D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128F5"/>
    <w:multiLevelType w:val="hybridMultilevel"/>
    <w:tmpl w:val="012430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216079"/>
    <w:multiLevelType w:val="hybridMultilevel"/>
    <w:tmpl w:val="9CCA9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E4B3A"/>
    <w:multiLevelType w:val="multilevel"/>
    <w:tmpl w:val="C00659AA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49D653D9"/>
    <w:multiLevelType w:val="hybridMultilevel"/>
    <w:tmpl w:val="C2084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80431"/>
    <w:multiLevelType w:val="hybridMultilevel"/>
    <w:tmpl w:val="27E28F3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4D26C4"/>
    <w:multiLevelType w:val="hybridMultilevel"/>
    <w:tmpl w:val="BA2004C4"/>
    <w:lvl w:ilvl="0" w:tplc="2F82F3C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339D4"/>
    <w:multiLevelType w:val="hybridMultilevel"/>
    <w:tmpl w:val="EC121ED4"/>
    <w:lvl w:ilvl="0" w:tplc="041B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D000904"/>
    <w:multiLevelType w:val="hybridMultilevel"/>
    <w:tmpl w:val="0E80C94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327FC9"/>
    <w:multiLevelType w:val="hybridMultilevel"/>
    <w:tmpl w:val="1B387A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911AB"/>
    <w:multiLevelType w:val="hybridMultilevel"/>
    <w:tmpl w:val="E1A2A6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3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3"/>
  </w:num>
  <w:num w:numId="17">
    <w:abstractNumId w:val="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664"/>
    <w:rsid w:val="00057241"/>
    <w:rsid w:val="000C19E9"/>
    <w:rsid w:val="000E5804"/>
    <w:rsid w:val="00193664"/>
    <w:rsid w:val="001B080B"/>
    <w:rsid w:val="001D1149"/>
    <w:rsid w:val="001D5C22"/>
    <w:rsid w:val="00210DAF"/>
    <w:rsid w:val="00240C9D"/>
    <w:rsid w:val="00254217"/>
    <w:rsid w:val="00257801"/>
    <w:rsid w:val="002B62F8"/>
    <w:rsid w:val="002D3D2B"/>
    <w:rsid w:val="00331A57"/>
    <w:rsid w:val="003D04A8"/>
    <w:rsid w:val="0041308B"/>
    <w:rsid w:val="004301D3"/>
    <w:rsid w:val="00431049"/>
    <w:rsid w:val="004563AB"/>
    <w:rsid w:val="004631AF"/>
    <w:rsid w:val="004B3E40"/>
    <w:rsid w:val="00546B23"/>
    <w:rsid w:val="00551413"/>
    <w:rsid w:val="00564DAF"/>
    <w:rsid w:val="005C79E8"/>
    <w:rsid w:val="00693C44"/>
    <w:rsid w:val="006B3EC5"/>
    <w:rsid w:val="007126E7"/>
    <w:rsid w:val="00720E72"/>
    <w:rsid w:val="007668A1"/>
    <w:rsid w:val="00767F1B"/>
    <w:rsid w:val="00782CC8"/>
    <w:rsid w:val="007C0548"/>
    <w:rsid w:val="007C4F04"/>
    <w:rsid w:val="007F587A"/>
    <w:rsid w:val="00827366"/>
    <w:rsid w:val="008A0B4A"/>
    <w:rsid w:val="008C01C4"/>
    <w:rsid w:val="008C2315"/>
    <w:rsid w:val="008E067E"/>
    <w:rsid w:val="00907735"/>
    <w:rsid w:val="00913A7E"/>
    <w:rsid w:val="009339FB"/>
    <w:rsid w:val="00974B95"/>
    <w:rsid w:val="009754A6"/>
    <w:rsid w:val="009C0A4F"/>
    <w:rsid w:val="00A216F7"/>
    <w:rsid w:val="00A50FBA"/>
    <w:rsid w:val="00B077D1"/>
    <w:rsid w:val="00B2101E"/>
    <w:rsid w:val="00B26014"/>
    <w:rsid w:val="00B61B78"/>
    <w:rsid w:val="00BA6D81"/>
    <w:rsid w:val="00BF72D8"/>
    <w:rsid w:val="00C231FB"/>
    <w:rsid w:val="00C3653C"/>
    <w:rsid w:val="00C57B81"/>
    <w:rsid w:val="00C80708"/>
    <w:rsid w:val="00C820BE"/>
    <w:rsid w:val="00CD656D"/>
    <w:rsid w:val="00CD6E64"/>
    <w:rsid w:val="00CF3EB9"/>
    <w:rsid w:val="00D06E93"/>
    <w:rsid w:val="00DA21DA"/>
    <w:rsid w:val="00DC14A9"/>
    <w:rsid w:val="00DE6DE2"/>
    <w:rsid w:val="00DF515C"/>
    <w:rsid w:val="00E262B9"/>
    <w:rsid w:val="00E67D44"/>
    <w:rsid w:val="00F20428"/>
    <w:rsid w:val="00F725D4"/>
    <w:rsid w:val="00F75BC5"/>
    <w:rsid w:val="00FD7F7C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63AB"/>
  </w:style>
  <w:style w:type="paragraph" w:styleId="Nadpis1">
    <w:name w:val="heading 1"/>
    <w:basedOn w:val="Normlny"/>
    <w:next w:val="Normlny"/>
    <w:link w:val="Nadpis1Char"/>
    <w:uiPriority w:val="9"/>
    <w:qFormat/>
    <w:rsid w:val="00430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30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4217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qFormat/>
    <w:rsid w:val="00FD7F7C"/>
    <w:pPr>
      <w:spacing w:before="120" w:after="120" w:line="360" w:lineRule="auto"/>
      <w:jc w:val="both"/>
    </w:pPr>
    <w:rPr>
      <w:rFonts w:ascii="Arial" w:eastAsia="Times New Roman" w:hAnsi="Arial" w:cs="Times New Roman"/>
      <w:b/>
      <w:szCs w:val="20"/>
    </w:rPr>
  </w:style>
  <w:style w:type="paragraph" w:styleId="Nzov">
    <w:name w:val="Title"/>
    <w:basedOn w:val="Normlny"/>
    <w:link w:val="NzovChar"/>
    <w:qFormat/>
    <w:rsid w:val="00FD7F7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FD7F7C"/>
    <w:rPr>
      <w:rFonts w:ascii="Bookman Old Style" w:eastAsia="Times New Roman" w:hAnsi="Bookman Old Style" w:cs="Times New Roman"/>
      <w:b/>
      <w:bCs/>
      <w:sz w:val="28"/>
      <w:szCs w:val="24"/>
      <w:lang w:eastAsia="cs-CZ"/>
    </w:rPr>
  </w:style>
  <w:style w:type="paragraph" w:styleId="Zkladntext">
    <w:name w:val="Body Text"/>
    <w:aliases w:val="b,Základný text1,Základný text1 Char,Základný text1 Char Char Char Char"/>
    <w:basedOn w:val="Normlny"/>
    <w:link w:val="ZkladntextChar"/>
    <w:uiPriority w:val="99"/>
    <w:rsid w:val="004301D3"/>
    <w:pPr>
      <w:spacing w:after="120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character" w:customStyle="1" w:styleId="ZkladntextChar">
    <w:name w:val="Základný text Char"/>
    <w:aliases w:val="b Char,Základný text1 Char1,Základný text1 Char Char,Základný text1 Char Char Char Char Char"/>
    <w:basedOn w:val="Predvolenpsmoodseku"/>
    <w:link w:val="Zkladntext"/>
    <w:uiPriority w:val="99"/>
    <w:rsid w:val="004301D3"/>
    <w:rPr>
      <w:rFonts w:ascii="Arial Narrow" w:eastAsia="Times New Roman" w:hAnsi="Arial Narrow" w:cs="Times New Roman"/>
      <w:sz w:val="24"/>
      <w:szCs w:val="24"/>
      <w:lang w:eastAsia="sk-SK"/>
    </w:rPr>
  </w:style>
  <w:style w:type="character" w:customStyle="1" w:styleId="nadpis10">
    <w:name w:val="nadpis1"/>
    <w:basedOn w:val="Predvolenpsmoodseku"/>
    <w:uiPriority w:val="99"/>
    <w:rsid w:val="004301D3"/>
    <w:rPr>
      <w:rFonts w:cs="Times New Roman"/>
      <w:b/>
      <w:bCs/>
    </w:rPr>
  </w:style>
  <w:style w:type="paragraph" w:customStyle="1" w:styleId="NADP">
    <w:name w:val="NADP."/>
    <w:basedOn w:val="Nadpis1"/>
    <w:uiPriority w:val="99"/>
    <w:rsid w:val="004301D3"/>
    <w:pPr>
      <w:keepLines w:val="0"/>
      <w:numPr>
        <w:numId w:val="2"/>
      </w:numPr>
      <w:autoSpaceDE w:val="0"/>
      <w:autoSpaceDN w:val="0"/>
      <w:spacing w:before="0" w:line="360" w:lineRule="auto"/>
      <w:jc w:val="both"/>
    </w:pPr>
    <w:rPr>
      <w:rFonts w:ascii="Arial Narrow" w:eastAsia="Times New Roman" w:hAnsi="Arial Narrow" w:cs="Arial"/>
      <w:bCs w:val="0"/>
      <w:caps/>
      <w:color w:val="auto"/>
      <w:sz w:val="24"/>
      <w:szCs w:val="24"/>
      <w:lang w:eastAsia="sk-SK"/>
    </w:rPr>
  </w:style>
  <w:style w:type="paragraph" w:customStyle="1" w:styleId="ODS">
    <w:name w:val="ODS."/>
    <w:basedOn w:val="Nadpis2"/>
    <w:uiPriority w:val="99"/>
    <w:rsid w:val="004301D3"/>
    <w:pPr>
      <w:keepLines w:val="0"/>
      <w:numPr>
        <w:ilvl w:val="1"/>
        <w:numId w:val="2"/>
      </w:numPr>
      <w:autoSpaceDE w:val="0"/>
      <w:autoSpaceDN w:val="0"/>
      <w:spacing w:before="0" w:line="360" w:lineRule="auto"/>
      <w:jc w:val="both"/>
    </w:pPr>
    <w:rPr>
      <w:rFonts w:ascii="Arial" w:eastAsia="Times New Roman" w:hAnsi="Arial" w:cs="Arial"/>
      <w:b w:val="0"/>
      <w:bCs w:val="0"/>
      <w:color w:val="auto"/>
      <w:sz w:val="22"/>
      <w:szCs w:val="22"/>
      <w:lang w:eastAsia="sk-SK"/>
    </w:rPr>
  </w:style>
  <w:style w:type="paragraph" w:customStyle="1" w:styleId="PODODS">
    <w:name w:val="PODODS."/>
    <w:basedOn w:val="Normlny"/>
    <w:uiPriority w:val="99"/>
    <w:rsid w:val="004301D3"/>
    <w:pPr>
      <w:numPr>
        <w:ilvl w:val="2"/>
        <w:numId w:val="2"/>
      </w:num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30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30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kladntextb">
    <w:name w:val="Základný text.b"/>
    <w:basedOn w:val="Normlny"/>
    <w:rsid w:val="00F725D4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styleId="Odkaznapoznmkupodiarou">
    <w:name w:val="footnote reference"/>
    <w:basedOn w:val="Predvolenpsmoodseku"/>
    <w:rsid w:val="00F725D4"/>
    <w:rPr>
      <w:vertAlign w:val="superscript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eiarou 007,Text poznámky pod èiarou 007"/>
    <w:basedOn w:val="Normlny"/>
    <w:link w:val="TextpoznmkypodiarouChar"/>
    <w:rsid w:val="00F725D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rsid w:val="00F725D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20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EA82-3B87-4B65-9AD4-C64F6FB5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</dc:creator>
  <cp:keywords/>
  <dc:description/>
  <cp:lastModifiedBy>Nemec Jozef</cp:lastModifiedBy>
  <cp:revision>22</cp:revision>
  <cp:lastPrinted>2012-02-13T14:55:00Z</cp:lastPrinted>
  <dcterms:created xsi:type="dcterms:W3CDTF">2012-02-13T13:34:00Z</dcterms:created>
  <dcterms:modified xsi:type="dcterms:W3CDTF">2013-01-31T15:00:00Z</dcterms:modified>
</cp:coreProperties>
</file>